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12" w:rsidRPr="008569A8" w:rsidRDefault="00D36C12" w:rsidP="00D36C12">
      <w:pPr>
        <w:spacing w:after="0"/>
        <w:ind w:left="360"/>
        <w:rPr>
          <w:rFonts w:ascii="Times New Roman" w:hAnsi="Times New Roman" w:cs="Times New Roman"/>
          <w:b/>
          <w:sz w:val="24"/>
          <w:szCs w:val="24"/>
        </w:rPr>
      </w:pPr>
      <w:r>
        <w:rPr>
          <w:rFonts w:ascii="Times New Roman" w:hAnsi="Times New Roman" w:cs="Times New Roman"/>
          <w:b/>
          <w:sz w:val="24"/>
          <w:szCs w:val="24"/>
        </w:rPr>
        <w:t>10.1 Contract</w:t>
      </w:r>
      <w:r w:rsidRPr="008569A8">
        <w:rPr>
          <w:rFonts w:ascii="Times New Roman" w:hAnsi="Times New Roman" w:cs="Times New Roman"/>
          <w:b/>
          <w:sz w:val="24"/>
          <w:szCs w:val="24"/>
        </w:rPr>
        <w:t xml:space="preserve"> Goals</w:t>
      </w:r>
      <w:r>
        <w:rPr>
          <w:rFonts w:ascii="Times New Roman" w:hAnsi="Times New Roman" w:cs="Times New Roman"/>
          <w:b/>
          <w:sz w:val="24"/>
          <w:szCs w:val="24"/>
        </w:rPr>
        <w:t xml:space="preserve"> &amp; 2016-2017 Results</w:t>
      </w:r>
    </w:p>
    <w:p w:rsidR="00D36C12" w:rsidRPr="00AA0CC6" w:rsidRDefault="00D36C12" w:rsidP="00D36C12">
      <w:pPr>
        <w:pStyle w:val="ListParagraph"/>
        <w:ind w:left="360"/>
        <w:rPr>
          <w:b/>
          <w:szCs w:val="24"/>
        </w:rPr>
      </w:pPr>
      <w:r w:rsidRPr="00AA0CC6">
        <w:rPr>
          <w:szCs w:val="24"/>
        </w:rPr>
        <w:t>The academic goals that the school expects to achieve and how achievement of these goals is determined during the term of this contract are:</w:t>
      </w:r>
      <w:r>
        <w:rPr>
          <w:szCs w:val="24"/>
        </w:rPr>
        <w:br/>
      </w:r>
    </w:p>
    <w:p w:rsidR="00D36C12" w:rsidRPr="00036774" w:rsidRDefault="00D36C12" w:rsidP="00D36C12">
      <w:pPr>
        <w:pStyle w:val="ListParagraph"/>
        <w:numPr>
          <w:ilvl w:val="0"/>
          <w:numId w:val="2"/>
        </w:numPr>
        <w:rPr>
          <w:iCs/>
          <w:szCs w:val="24"/>
        </w:rPr>
      </w:pPr>
      <w:r>
        <w:rPr>
          <w:szCs w:val="24"/>
        </w:rPr>
        <w:t>UMA</w:t>
      </w:r>
      <w:r w:rsidRPr="00AA0CC6">
        <w:rPr>
          <w:szCs w:val="24"/>
        </w:rPr>
        <w:t xml:space="preserve"> students, meeting the State October 1 enrollment requirement, will increase math proficiency an </w:t>
      </w:r>
      <w:r>
        <w:rPr>
          <w:szCs w:val="24"/>
        </w:rPr>
        <w:t xml:space="preserve">average of 1% </w:t>
      </w:r>
      <w:r w:rsidRPr="00AA0CC6">
        <w:rPr>
          <w:szCs w:val="24"/>
        </w:rPr>
        <w:t>each year as measured by the state MN Comprehensive Assessment series, using 2014 MCA data as the baseline, by the end of this contract term, June 30, 2019. *</w:t>
      </w:r>
    </w:p>
    <w:p w:rsidR="00D36C12" w:rsidRPr="00AF17E5" w:rsidRDefault="00D36C12" w:rsidP="00D36C12">
      <w:pPr>
        <w:pStyle w:val="ListParagraph"/>
        <w:ind w:left="1440"/>
        <w:rPr>
          <w:iCs/>
          <w:szCs w:val="24"/>
        </w:rPr>
      </w:pPr>
    </w:p>
    <w:tbl>
      <w:tblPr>
        <w:tblStyle w:val="TableGrid"/>
        <w:tblW w:w="0" w:type="auto"/>
        <w:jc w:val="center"/>
        <w:tblLook w:val="04A0" w:firstRow="1" w:lastRow="0" w:firstColumn="1" w:lastColumn="0" w:noHBand="0" w:noVBand="1"/>
      </w:tblPr>
      <w:tblGrid>
        <w:gridCol w:w="1741"/>
        <w:gridCol w:w="2160"/>
        <w:gridCol w:w="2070"/>
      </w:tblGrid>
      <w:tr w:rsidR="00D36C12" w:rsidTr="00281674">
        <w:trPr>
          <w:jc w:val="center"/>
        </w:trPr>
        <w:tc>
          <w:tcPr>
            <w:tcW w:w="1741" w:type="dxa"/>
          </w:tcPr>
          <w:p w:rsidR="00D36C12" w:rsidRDefault="00D36C12" w:rsidP="00281674">
            <w:pPr>
              <w:pStyle w:val="ListParagraph"/>
              <w:ind w:left="0"/>
              <w:rPr>
                <w:iCs/>
              </w:rPr>
            </w:pPr>
            <w:r>
              <w:rPr>
                <w:iCs/>
              </w:rPr>
              <w:t>Academic Year</w:t>
            </w:r>
          </w:p>
        </w:tc>
        <w:tc>
          <w:tcPr>
            <w:tcW w:w="2160" w:type="dxa"/>
          </w:tcPr>
          <w:p w:rsidR="00D36C12" w:rsidRDefault="00D36C12" w:rsidP="00281674">
            <w:pPr>
              <w:pStyle w:val="ListParagraph"/>
              <w:ind w:left="0"/>
              <w:rPr>
                <w:iCs/>
              </w:rPr>
            </w:pPr>
            <w:r>
              <w:rPr>
                <w:iCs/>
              </w:rPr>
              <w:t>Status</w:t>
            </w:r>
          </w:p>
        </w:tc>
        <w:tc>
          <w:tcPr>
            <w:tcW w:w="2070" w:type="dxa"/>
          </w:tcPr>
          <w:p w:rsidR="00D36C12" w:rsidRDefault="00D36C12" w:rsidP="00281674">
            <w:pPr>
              <w:pStyle w:val="ListParagraph"/>
              <w:ind w:left="0"/>
              <w:rPr>
                <w:iCs/>
              </w:rPr>
            </w:pPr>
            <w:r>
              <w:rPr>
                <w:iCs/>
              </w:rPr>
              <w:t>Details</w:t>
            </w:r>
          </w:p>
        </w:tc>
      </w:tr>
      <w:tr w:rsidR="00D36C12" w:rsidTr="00281674">
        <w:trPr>
          <w:jc w:val="center"/>
        </w:trPr>
        <w:tc>
          <w:tcPr>
            <w:tcW w:w="1741" w:type="dxa"/>
          </w:tcPr>
          <w:p w:rsidR="00D36C12" w:rsidRDefault="00D36C12" w:rsidP="00281674">
            <w:pPr>
              <w:pStyle w:val="ListParagraph"/>
              <w:ind w:left="0"/>
              <w:rPr>
                <w:iCs/>
              </w:rPr>
            </w:pPr>
            <w:r>
              <w:rPr>
                <w:iCs/>
              </w:rPr>
              <w:t>2014-2015</w:t>
            </w:r>
          </w:p>
        </w:tc>
        <w:tc>
          <w:tcPr>
            <w:tcW w:w="2160" w:type="dxa"/>
          </w:tcPr>
          <w:p w:rsidR="00D36C12" w:rsidRDefault="00D36C12" w:rsidP="00281674">
            <w:pPr>
              <w:pStyle w:val="ListParagraph"/>
              <w:ind w:left="0"/>
              <w:rPr>
                <w:iCs/>
              </w:rPr>
            </w:pPr>
            <w:r>
              <w:rPr>
                <w:iCs/>
              </w:rPr>
              <w:t>Did not meet</w:t>
            </w:r>
          </w:p>
        </w:tc>
        <w:tc>
          <w:tcPr>
            <w:tcW w:w="2070" w:type="dxa"/>
          </w:tcPr>
          <w:p w:rsidR="00D36C12" w:rsidRPr="004B78D5" w:rsidRDefault="00D36C12" w:rsidP="00281674">
            <w:pPr>
              <w:pStyle w:val="ListParagraph"/>
              <w:ind w:left="0"/>
              <w:rPr>
                <w:iCs/>
                <w:sz w:val="20"/>
              </w:rPr>
            </w:pPr>
            <w:r w:rsidRPr="004B78D5">
              <w:rPr>
                <w:iCs/>
                <w:sz w:val="20"/>
              </w:rPr>
              <w:t>Increased by 0.5%</w:t>
            </w:r>
          </w:p>
        </w:tc>
      </w:tr>
      <w:tr w:rsidR="00D36C12" w:rsidTr="00281674">
        <w:trPr>
          <w:jc w:val="center"/>
        </w:trPr>
        <w:tc>
          <w:tcPr>
            <w:tcW w:w="1741" w:type="dxa"/>
          </w:tcPr>
          <w:p w:rsidR="00D36C12" w:rsidRDefault="00D36C12" w:rsidP="00281674">
            <w:pPr>
              <w:pStyle w:val="ListParagraph"/>
              <w:ind w:left="0"/>
              <w:rPr>
                <w:iCs/>
              </w:rPr>
            </w:pPr>
            <w:r>
              <w:rPr>
                <w:iCs/>
              </w:rPr>
              <w:t>2015-2016</w:t>
            </w:r>
          </w:p>
        </w:tc>
        <w:tc>
          <w:tcPr>
            <w:tcW w:w="2160" w:type="dxa"/>
          </w:tcPr>
          <w:p w:rsidR="00D36C12" w:rsidRDefault="00D36C12" w:rsidP="00281674">
            <w:pPr>
              <w:pStyle w:val="ListParagraph"/>
              <w:ind w:left="0"/>
              <w:rPr>
                <w:iCs/>
              </w:rPr>
            </w:pPr>
            <w:r>
              <w:rPr>
                <w:iCs/>
              </w:rPr>
              <w:t>Did not meet</w:t>
            </w:r>
          </w:p>
        </w:tc>
        <w:tc>
          <w:tcPr>
            <w:tcW w:w="2070" w:type="dxa"/>
          </w:tcPr>
          <w:p w:rsidR="00D36C12" w:rsidRPr="004B78D5" w:rsidRDefault="00D36C12" w:rsidP="00281674">
            <w:pPr>
              <w:pStyle w:val="ListParagraph"/>
              <w:ind w:left="0"/>
              <w:rPr>
                <w:iCs/>
                <w:sz w:val="20"/>
              </w:rPr>
            </w:pPr>
            <w:r w:rsidRPr="004B78D5">
              <w:rPr>
                <w:iCs/>
                <w:sz w:val="20"/>
              </w:rPr>
              <w:t>Decreased by 18.4%</w:t>
            </w:r>
          </w:p>
        </w:tc>
      </w:tr>
      <w:tr w:rsidR="00D36C12" w:rsidTr="00281674">
        <w:trPr>
          <w:jc w:val="center"/>
        </w:trPr>
        <w:tc>
          <w:tcPr>
            <w:tcW w:w="1741" w:type="dxa"/>
          </w:tcPr>
          <w:p w:rsidR="00D36C12" w:rsidRDefault="00D36C12" w:rsidP="00281674">
            <w:pPr>
              <w:pStyle w:val="ListParagraph"/>
              <w:ind w:left="0"/>
              <w:rPr>
                <w:iCs/>
              </w:rPr>
            </w:pPr>
            <w:r>
              <w:rPr>
                <w:iCs/>
              </w:rPr>
              <w:t>2016-2017</w:t>
            </w:r>
          </w:p>
        </w:tc>
        <w:tc>
          <w:tcPr>
            <w:tcW w:w="2160" w:type="dxa"/>
          </w:tcPr>
          <w:p w:rsidR="00D36C12" w:rsidRDefault="00D36C12" w:rsidP="00281674">
            <w:pPr>
              <w:pStyle w:val="ListParagraph"/>
              <w:ind w:left="0"/>
              <w:rPr>
                <w:iCs/>
              </w:rPr>
            </w:pPr>
            <w:r>
              <w:rPr>
                <w:iCs/>
              </w:rPr>
              <w:t>Met</w:t>
            </w:r>
          </w:p>
        </w:tc>
        <w:tc>
          <w:tcPr>
            <w:tcW w:w="2070" w:type="dxa"/>
          </w:tcPr>
          <w:p w:rsidR="00D36C12" w:rsidRPr="004B78D5" w:rsidRDefault="00D36C12" w:rsidP="00281674">
            <w:pPr>
              <w:pStyle w:val="ListParagraph"/>
              <w:ind w:left="0"/>
              <w:rPr>
                <w:iCs/>
                <w:sz w:val="20"/>
              </w:rPr>
            </w:pPr>
            <w:r>
              <w:rPr>
                <w:iCs/>
                <w:sz w:val="20"/>
              </w:rPr>
              <w:t>Increased by 23.3%</w:t>
            </w:r>
          </w:p>
        </w:tc>
      </w:tr>
      <w:tr w:rsidR="00D36C12" w:rsidTr="00281674">
        <w:trPr>
          <w:jc w:val="center"/>
        </w:trPr>
        <w:tc>
          <w:tcPr>
            <w:tcW w:w="1741" w:type="dxa"/>
          </w:tcPr>
          <w:p w:rsidR="00D36C12" w:rsidRDefault="00D36C12" w:rsidP="00281674">
            <w:pPr>
              <w:pStyle w:val="ListParagraph"/>
              <w:ind w:left="0"/>
              <w:rPr>
                <w:iCs/>
              </w:rPr>
            </w:pPr>
            <w:r>
              <w:rPr>
                <w:iCs/>
              </w:rPr>
              <w:t>2017-2018</w:t>
            </w:r>
          </w:p>
        </w:tc>
        <w:tc>
          <w:tcPr>
            <w:tcW w:w="2160" w:type="dxa"/>
          </w:tcPr>
          <w:p w:rsidR="00D36C12" w:rsidRDefault="00D36C12" w:rsidP="00281674">
            <w:pPr>
              <w:pStyle w:val="ListParagraph"/>
              <w:ind w:left="0"/>
              <w:rPr>
                <w:iCs/>
              </w:rPr>
            </w:pPr>
          </w:p>
        </w:tc>
        <w:tc>
          <w:tcPr>
            <w:tcW w:w="2070" w:type="dxa"/>
          </w:tcPr>
          <w:p w:rsidR="00D36C12" w:rsidRPr="004B78D5" w:rsidRDefault="00D36C12" w:rsidP="00281674">
            <w:pPr>
              <w:pStyle w:val="ListParagraph"/>
              <w:ind w:left="0"/>
              <w:rPr>
                <w:iCs/>
                <w:sz w:val="20"/>
              </w:rPr>
            </w:pPr>
          </w:p>
        </w:tc>
      </w:tr>
      <w:tr w:rsidR="00D36C12" w:rsidTr="00281674">
        <w:trPr>
          <w:jc w:val="center"/>
        </w:trPr>
        <w:tc>
          <w:tcPr>
            <w:tcW w:w="1741" w:type="dxa"/>
          </w:tcPr>
          <w:p w:rsidR="00D36C12" w:rsidRDefault="00D36C12" w:rsidP="00281674">
            <w:pPr>
              <w:pStyle w:val="ListParagraph"/>
              <w:ind w:left="0"/>
              <w:rPr>
                <w:iCs/>
              </w:rPr>
            </w:pPr>
            <w:r>
              <w:rPr>
                <w:iCs/>
              </w:rPr>
              <w:t>2018-2019</w:t>
            </w:r>
          </w:p>
        </w:tc>
        <w:tc>
          <w:tcPr>
            <w:tcW w:w="2160" w:type="dxa"/>
          </w:tcPr>
          <w:p w:rsidR="00D36C12" w:rsidRDefault="00D36C12" w:rsidP="00281674">
            <w:pPr>
              <w:pStyle w:val="ListParagraph"/>
              <w:ind w:left="0"/>
              <w:rPr>
                <w:iCs/>
              </w:rPr>
            </w:pPr>
          </w:p>
        </w:tc>
        <w:tc>
          <w:tcPr>
            <w:tcW w:w="2070" w:type="dxa"/>
          </w:tcPr>
          <w:p w:rsidR="00D36C12" w:rsidRPr="004B78D5" w:rsidRDefault="00D36C12" w:rsidP="00281674">
            <w:pPr>
              <w:pStyle w:val="ListParagraph"/>
              <w:ind w:left="0"/>
              <w:rPr>
                <w:iCs/>
                <w:sz w:val="20"/>
              </w:rPr>
            </w:pPr>
          </w:p>
        </w:tc>
      </w:tr>
    </w:tbl>
    <w:p w:rsidR="00D36C12" w:rsidRPr="00AA0CC6" w:rsidRDefault="00D36C12" w:rsidP="00D36C12">
      <w:pPr>
        <w:pStyle w:val="ListParagraph"/>
        <w:ind w:left="1440"/>
        <w:rPr>
          <w:iCs/>
          <w:szCs w:val="24"/>
        </w:rPr>
      </w:pPr>
    </w:p>
    <w:p w:rsidR="00D36C12" w:rsidRPr="00036774" w:rsidRDefault="00D36C12" w:rsidP="00D36C12">
      <w:pPr>
        <w:pStyle w:val="ListParagraph"/>
        <w:numPr>
          <w:ilvl w:val="0"/>
          <w:numId w:val="2"/>
        </w:numPr>
        <w:rPr>
          <w:i/>
          <w:iCs/>
          <w:szCs w:val="24"/>
        </w:rPr>
      </w:pPr>
      <w:r>
        <w:rPr>
          <w:szCs w:val="24"/>
        </w:rPr>
        <w:t> UMA</w:t>
      </w:r>
      <w:r w:rsidRPr="00AA0CC6">
        <w:rPr>
          <w:szCs w:val="24"/>
        </w:rPr>
        <w:t xml:space="preserve"> students, meeting the State October 1 enrollment requirement, will increase readin</w:t>
      </w:r>
      <w:r>
        <w:rPr>
          <w:szCs w:val="24"/>
        </w:rPr>
        <w:t xml:space="preserve">g proficiency an average of 1% </w:t>
      </w:r>
      <w:r w:rsidRPr="00AA0CC6">
        <w:rPr>
          <w:szCs w:val="24"/>
        </w:rPr>
        <w:t>each year as measured by the state MN Comprehensive Assessment series, using 2014 MCA data as the baseline, by the end of this contract term, June 30, 2019. *</w:t>
      </w:r>
    </w:p>
    <w:p w:rsidR="00D36C12" w:rsidRDefault="00D36C12" w:rsidP="00D36C12">
      <w:pPr>
        <w:spacing w:after="0"/>
        <w:jc w:val="center"/>
        <w:rPr>
          <w:i/>
          <w:iCs/>
          <w:szCs w:val="24"/>
        </w:rPr>
      </w:pPr>
    </w:p>
    <w:tbl>
      <w:tblPr>
        <w:tblStyle w:val="TableGrid"/>
        <w:tblW w:w="0" w:type="auto"/>
        <w:jc w:val="center"/>
        <w:tblLook w:val="04A0" w:firstRow="1" w:lastRow="0" w:firstColumn="1" w:lastColumn="0" w:noHBand="0" w:noVBand="1"/>
      </w:tblPr>
      <w:tblGrid>
        <w:gridCol w:w="1741"/>
        <w:gridCol w:w="2160"/>
        <w:gridCol w:w="2070"/>
      </w:tblGrid>
      <w:tr w:rsidR="00D36C12" w:rsidTr="00281674">
        <w:trPr>
          <w:jc w:val="center"/>
        </w:trPr>
        <w:tc>
          <w:tcPr>
            <w:tcW w:w="1741" w:type="dxa"/>
          </w:tcPr>
          <w:p w:rsidR="00D36C12" w:rsidRDefault="00D36C12" w:rsidP="00281674">
            <w:pPr>
              <w:pStyle w:val="ListParagraph"/>
              <w:ind w:left="0"/>
              <w:rPr>
                <w:iCs/>
              </w:rPr>
            </w:pPr>
            <w:r>
              <w:rPr>
                <w:iCs/>
              </w:rPr>
              <w:t>Academic Year</w:t>
            </w:r>
          </w:p>
        </w:tc>
        <w:tc>
          <w:tcPr>
            <w:tcW w:w="2160" w:type="dxa"/>
          </w:tcPr>
          <w:p w:rsidR="00D36C12" w:rsidRDefault="00D36C12" w:rsidP="00281674">
            <w:pPr>
              <w:pStyle w:val="ListParagraph"/>
              <w:ind w:left="0"/>
              <w:rPr>
                <w:iCs/>
              </w:rPr>
            </w:pPr>
            <w:r>
              <w:rPr>
                <w:iCs/>
              </w:rPr>
              <w:t>Status</w:t>
            </w:r>
          </w:p>
        </w:tc>
        <w:tc>
          <w:tcPr>
            <w:tcW w:w="2070" w:type="dxa"/>
          </w:tcPr>
          <w:p w:rsidR="00D36C12" w:rsidRDefault="00D36C12" w:rsidP="00281674">
            <w:pPr>
              <w:pStyle w:val="ListParagraph"/>
              <w:ind w:left="0"/>
              <w:rPr>
                <w:iCs/>
              </w:rPr>
            </w:pPr>
            <w:r>
              <w:rPr>
                <w:iCs/>
              </w:rPr>
              <w:t>Details</w:t>
            </w:r>
          </w:p>
        </w:tc>
      </w:tr>
      <w:tr w:rsidR="00D36C12" w:rsidTr="00281674">
        <w:trPr>
          <w:jc w:val="center"/>
        </w:trPr>
        <w:tc>
          <w:tcPr>
            <w:tcW w:w="1741" w:type="dxa"/>
          </w:tcPr>
          <w:p w:rsidR="00D36C12" w:rsidRDefault="00D36C12" w:rsidP="00281674">
            <w:pPr>
              <w:pStyle w:val="ListParagraph"/>
              <w:ind w:left="0"/>
              <w:rPr>
                <w:iCs/>
              </w:rPr>
            </w:pPr>
            <w:r>
              <w:rPr>
                <w:iCs/>
              </w:rPr>
              <w:t>2014-2015</w:t>
            </w:r>
          </w:p>
        </w:tc>
        <w:tc>
          <w:tcPr>
            <w:tcW w:w="2160" w:type="dxa"/>
          </w:tcPr>
          <w:p w:rsidR="00D36C12" w:rsidRDefault="00D36C12" w:rsidP="00281674">
            <w:pPr>
              <w:pStyle w:val="ListParagraph"/>
              <w:ind w:left="0"/>
              <w:rPr>
                <w:iCs/>
              </w:rPr>
            </w:pPr>
            <w:r>
              <w:rPr>
                <w:iCs/>
              </w:rPr>
              <w:t>Met</w:t>
            </w:r>
          </w:p>
        </w:tc>
        <w:tc>
          <w:tcPr>
            <w:tcW w:w="2070" w:type="dxa"/>
          </w:tcPr>
          <w:p w:rsidR="00D36C12" w:rsidRPr="004B78D5" w:rsidRDefault="00D36C12" w:rsidP="00281674">
            <w:pPr>
              <w:pStyle w:val="ListParagraph"/>
              <w:ind w:left="0"/>
              <w:rPr>
                <w:iCs/>
                <w:sz w:val="20"/>
              </w:rPr>
            </w:pPr>
            <w:r>
              <w:rPr>
                <w:iCs/>
                <w:sz w:val="20"/>
              </w:rPr>
              <w:t>Increased by 6.4%</w:t>
            </w:r>
          </w:p>
        </w:tc>
      </w:tr>
      <w:tr w:rsidR="00D36C12" w:rsidTr="00281674">
        <w:trPr>
          <w:jc w:val="center"/>
        </w:trPr>
        <w:tc>
          <w:tcPr>
            <w:tcW w:w="1741" w:type="dxa"/>
          </w:tcPr>
          <w:p w:rsidR="00D36C12" w:rsidRDefault="00D36C12" w:rsidP="00281674">
            <w:pPr>
              <w:pStyle w:val="ListParagraph"/>
              <w:ind w:left="0"/>
              <w:rPr>
                <w:iCs/>
              </w:rPr>
            </w:pPr>
            <w:r>
              <w:rPr>
                <w:iCs/>
              </w:rPr>
              <w:t>2015-2016</w:t>
            </w:r>
          </w:p>
        </w:tc>
        <w:tc>
          <w:tcPr>
            <w:tcW w:w="2160" w:type="dxa"/>
          </w:tcPr>
          <w:p w:rsidR="00D36C12" w:rsidRDefault="00D36C12" w:rsidP="00281674">
            <w:pPr>
              <w:pStyle w:val="ListParagraph"/>
              <w:ind w:left="0"/>
              <w:rPr>
                <w:iCs/>
              </w:rPr>
            </w:pPr>
            <w:r>
              <w:rPr>
                <w:iCs/>
              </w:rPr>
              <w:t>Did not meet</w:t>
            </w:r>
          </w:p>
        </w:tc>
        <w:tc>
          <w:tcPr>
            <w:tcW w:w="2070" w:type="dxa"/>
          </w:tcPr>
          <w:p w:rsidR="00D36C12" w:rsidRPr="004B78D5" w:rsidRDefault="00D36C12" w:rsidP="00281674">
            <w:pPr>
              <w:pStyle w:val="ListParagraph"/>
              <w:ind w:left="0"/>
              <w:rPr>
                <w:iCs/>
                <w:sz w:val="20"/>
              </w:rPr>
            </w:pPr>
            <w:r>
              <w:rPr>
                <w:iCs/>
                <w:sz w:val="20"/>
              </w:rPr>
              <w:t>Increased by 0.3%</w:t>
            </w:r>
          </w:p>
        </w:tc>
      </w:tr>
      <w:tr w:rsidR="00D36C12" w:rsidTr="00281674">
        <w:trPr>
          <w:jc w:val="center"/>
        </w:trPr>
        <w:tc>
          <w:tcPr>
            <w:tcW w:w="1741" w:type="dxa"/>
          </w:tcPr>
          <w:p w:rsidR="00D36C12" w:rsidRDefault="00D36C12" w:rsidP="00281674">
            <w:pPr>
              <w:pStyle w:val="ListParagraph"/>
              <w:ind w:left="0"/>
              <w:rPr>
                <w:iCs/>
              </w:rPr>
            </w:pPr>
            <w:r>
              <w:rPr>
                <w:iCs/>
              </w:rPr>
              <w:t>2016-2017</w:t>
            </w:r>
          </w:p>
        </w:tc>
        <w:tc>
          <w:tcPr>
            <w:tcW w:w="2160" w:type="dxa"/>
          </w:tcPr>
          <w:p w:rsidR="00D36C12" w:rsidRDefault="00D36C12" w:rsidP="00281674">
            <w:pPr>
              <w:pStyle w:val="ListParagraph"/>
              <w:ind w:left="0"/>
              <w:rPr>
                <w:iCs/>
              </w:rPr>
            </w:pPr>
            <w:r>
              <w:rPr>
                <w:iCs/>
              </w:rPr>
              <w:t>Met</w:t>
            </w:r>
          </w:p>
        </w:tc>
        <w:tc>
          <w:tcPr>
            <w:tcW w:w="2070" w:type="dxa"/>
          </w:tcPr>
          <w:p w:rsidR="00D36C12" w:rsidRPr="004B78D5" w:rsidRDefault="00D36C12" w:rsidP="00281674">
            <w:pPr>
              <w:pStyle w:val="ListParagraph"/>
              <w:ind w:left="0"/>
              <w:rPr>
                <w:iCs/>
                <w:sz w:val="20"/>
              </w:rPr>
            </w:pPr>
            <w:r>
              <w:rPr>
                <w:iCs/>
                <w:sz w:val="20"/>
              </w:rPr>
              <w:t>Increased by 2.6%</w:t>
            </w:r>
          </w:p>
        </w:tc>
      </w:tr>
      <w:tr w:rsidR="00D36C12" w:rsidTr="00281674">
        <w:trPr>
          <w:jc w:val="center"/>
        </w:trPr>
        <w:tc>
          <w:tcPr>
            <w:tcW w:w="1741" w:type="dxa"/>
          </w:tcPr>
          <w:p w:rsidR="00D36C12" w:rsidRDefault="00D36C12" w:rsidP="00281674">
            <w:pPr>
              <w:pStyle w:val="ListParagraph"/>
              <w:ind w:left="0"/>
              <w:rPr>
                <w:iCs/>
              </w:rPr>
            </w:pPr>
            <w:r>
              <w:rPr>
                <w:iCs/>
              </w:rPr>
              <w:t>2017-2018</w:t>
            </w:r>
          </w:p>
        </w:tc>
        <w:tc>
          <w:tcPr>
            <w:tcW w:w="2160" w:type="dxa"/>
          </w:tcPr>
          <w:p w:rsidR="00D36C12" w:rsidRDefault="00D36C12" w:rsidP="00281674">
            <w:pPr>
              <w:pStyle w:val="ListParagraph"/>
              <w:ind w:left="0"/>
              <w:rPr>
                <w:iCs/>
              </w:rPr>
            </w:pPr>
          </w:p>
        </w:tc>
        <w:tc>
          <w:tcPr>
            <w:tcW w:w="2070" w:type="dxa"/>
          </w:tcPr>
          <w:p w:rsidR="00D36C12" w:rsidRDefault="00D36C12" w:rsidP="00281674">
            <w:pPr>
              <w:pStyle w:val="ListParagraph"/>
              <w:ind w:left="0"/>
              <w:rPr>
                <w:iCs/>
              </w:rPr>
            </w:pPr>
          </w:p>
        </w:tc>
      </w:tr>
      <w:tr w:rsidR="00D36C12" w:rsidTr="00281674">
        <w:trPr>
          <w:jc w:val="center"/>
        </w:trPr>
        <w:tc>
          <w:tcPr>
            <w:tcW w:w="1741" w:type="dxa"/>
          </w:tcPr>
          <w:p w:rsidR="00D36C12" w:rsidRDefault="00D36C12" w:rsidP="00281674">
            <w:pPr>
              <w:pStyle w:val="ListParagraph"/>
              <w:ind w:left="0"/>
              <w:rPr>
                <w:iCs/>
              </w:rPr>
            </w:pPr>
            <w:r>
              <w:rPr>
                <w:iCs/>
              </w:rPr>
              <w:t>2018-2019</w:t>
            </w:r>
          </w:p>
        </w:tc>
        <w:tc>
          <w:tcPr>
            <w:tcW w:w="2160" w:type="dxa"/>
          </w:tcPr>
          <w:p w:rsidR="00D36C12" w:rsidRDefault="00D36C12" w:rsidP="00281674">
            <w:pPr>
              <w:pStyle w:val="ListParagraph"/>
              <w:ind w:left="0"/>
              <w:rPr>
                <w:iCs/>
              </w:rPr>
            </w:pPr>
          </w:p>
        </w:tc>
        <w:tc>
          <w:tcPr>
            <w:tcW w:w="2070" w:type="dxa"/>
          </w:tcPr>
          <w:p w:rsidR="00D36C12" w:rsidRDefault="00D36C12" w:rsidP="00281674">
            <w:pPr>
              <w:pStyle w:val="ListParagraph"/>
              <w:ind w:left="0"/>
              <w:rPr>
                <w:iCs/>
              </w:rPr>
            </w:pPr>
          </w:p>
        </w:tc>
      </w:tr>
    </w:tbl>
    <w:p w:rsidR="00D36C12" w:rsidRPr="00AA0CC6" w:rsidRDefault="00D36C12" w:rsidP="00D36C12">
      <w:pPr>
        <w:spacing w:after="0" w:line="240" w:lineRule="auto"/>
        <w:rPr>
          <w:rFonts w:ascii="Times New Roman" w:hAnsi="Times New Roman" w:cs="Times New Roman"/>
          <w:sz w:val="24"/>
          <w:szCs w:val="24"/>
        </w:rPr>
      </w:pPr>
    </w:p>
    <w:p w:rsidR="00D36C12" w:rsidRPr="008569A8" w:rsidRDefault="00D36C12" w:rsidP="00D36C12">
      <w:pPr>
        <w:pStyle w:val="ListParagraph"/>
        <w:ind w:left="1440"/>
        <w:rPr>
          <w:i/>
          <w:iCs/>
          <w:sz w:val="20"/>
        </w:rPr>
      </w:pPr>
      <w:r>
        <w:rPr>
          <w:i/>
          <w:iCs/>
          <w:sz w:val="20"/>
        </w:rPr>
        <w:t xml:space="preserve">* These goals </w:t>
      </w:r>
      <w:r w:rsidRPr="008569A8">
        <w:rPr>
          <w:i/>
          <w:iCs/>
          <w:sz w:val="20"/>
        </w:rPr>
        <w:t xml:space="preserve">shall </w:t>
      </w:r>
      <w:r>
        <w:rPr>
          <w:i/>
          <w:iCs/>
          <w:sz w:val="20"/>
        </w:rPr>
        <w:t xml:space="preserve">be reviewed annually by the UMA </w:t>
      </w:r>
      <w:r w:rsidRPr="008569A8">
        <w:rPr>
          <w:i/>
          <w:iCs/>
          <w:sz w:val="20"/>
        </w:rPr>
        <w:t>board o</w:t>
      </w:r>
      <w:r>
        <w:rPr>
          <w:i/>
          <w:iCs/>
          <w:sz w:val="20"/>
        </w:rPr>
        <w:t xml:space="preserve">f directors and the AUTHORIZER </w:t>
      </w:r>
      <w:r w:rsidRPr="008569A8">
        <w:rPr>
          <w:i/>
          <w:iCs/>
          <w:sz w:val="20"/>
        </w:rPr>
        <w:t>to determine if any factors beyond the control of the school may have occurred and impacted students' performance on the Department of Education's standardized tests.  Factors may include, but are not limited to, changes during the year in: state standards, assessment companies used by the Department of Education to design and/or administer standardized tests, test formats or assessment tools as well as changes implemented by the Department of Education regarding school accountability such as new calculations of proficiency.  Factors to be considered may also include but are not limited to technology failures or acts of nature which are beyond the control of the school's administration.  Enactment of new laws or regulations (state or federal), changes in funding or qualification of sub-group status, which in any way may influence standardized testing will also be considered as potential factors impacting students' performance.</w:t>
      </w:r>
    </w:p>
    <w:p w:rsidR="00D36C12" w:rsidRPr="008569A8" w:rsidRDefault="00D36C12" w:rsidP="00D36C12">
      <w:pPr>
        <w:pStyle w:val="ListParagraph"/>
        <w:ind w:left="360"/>
        <w:rPr>
          <w:iCs/>
          <w:sz w:val="20"/>
        </w:rPr>
      </w:pPr>
      <w:r w:rsidRPr="008569A8">
        <w:rPr>
          <w:iCs/>
          <w:sz w:val="20"/>
        </w:rPr>
        <w:t xml:space="preserve"> </w:t>
      </w:r>
    </w:p>
    <w:p w:rsidR="00D36C12" w:rsidRDefault="00D36C12" w:rsidP="00D36C12">
      <w:pPr>
        <w:pStyle w:val="ListParagraph"/>
        <w:ind w:left="1440"/>
        <w:rPr>
          <w:i/>
          <w:iCs/>
          <w:sz w:val="20"/>
        </w:rPr>
      </w:pPr>
      <w:r w:rsidRPr="008569A8">
        <w:rPr>
          <w:i/>
          <w:iCs/>
          <w:sz w:val="20"/>
        </w:rPr>
        <w:t xml:space="preserve">The occurrence of one or more of the above factors or other factors beyond the control of the school which may affect the testing performance of </w:t>
      </w:r>
      <w:r>
        <w:rPr>
          <w:i/>
          <w:iCs/>
          <w:sz w:val="20"/>
        </w:rPr>
        <w:t>UMA</w:t>
      </w:r>
      <w:r w:rsidRPr="008569A8">
        <w:rPr>
          <w:i/>
          <w:iCs/>
          <w:sz w:val="20"/>
        </w:rPr>
        <w:t xml:space="preserve"> students differently than other Minnesota students in like sub-groups and/or districts have the potential of making it difficult to understand the</w:t>
      </w:r>
      <w:r>
        <w:rPr>
          <w:i/>
          <w:iCs/>
          <w:sz w:val="20"/>
        </w:rPr>
        <w:t xml:space="preserve"> impact of these factors on UMA</w:t>
      </w:r>
      <w:r w:rsidRPr="008569A8">
        <w:rPr>
          <w:i/>
          <w:iCs/>
          <w:sz w:val="20"/>
        </w:rPr>
        <w:t>'s ability to achieve the stated goals of this section of this agreement.  The occurrence of these external factors will necessitate an analysis of the impact of these factors and will result in the Board</w:t>
      </w:r>
      <w:r>
        <w:rPr>
          <w:i/>
          <w:iCs/>
          <w:sz w:val="20"/>
        </w:rPr>
        <w:t xml:space="preserve"> and Authorizer discussing and </w:t>
      </w:r>
      <w:r w:rsidRPr="008569A8">
        <w:rPr>
          <w:i/>
          <w:iCs/>
          <w:sz w:val="20"/>
        </w:rPr>
        <w:t>re-negotiating one or more of these contract goals.</w:t>
      </w:r>
    </w:p>
    <w:p w:rsidR="00D36C12" w:rsidRPr="00EC3EC2" w:rsidRDefault="00D36C12" w:rsidP="00D36C12">
      <w:pPr>
        <w:pStyle w:val="ListParagraph"/>
        <w:numPr>
          <w:ilvl w:val="0"/>
          <w:numId w:val="2"/>
        </w:numPr>
        <w:ind w:right="144"/>
        <w:rPr>
          <w:sz w:val="32"/>
          <w:szCs w:val="24"/>
        </w:rPr>
      </w:pPr>
      <w:r w:rsidRPr="00EC3EC2">
        <w:t xml:space="preserve">Using the 2014-2015 MAP growth data as a baseline, the percentage of UMA general education students, who have been continuously enrolled (having tested </w:t>
      </w:r>
      <w:r w:rsidRPr="00EC3EC2">
        <w:lastRenderedPageBreak/>
        <w:t>both Seasons), who meet or exceed their NWEA identified Growth Targets for math</w:t>
      </w:r>
      <w:r>
        <w:t>ematics</w:t>
      </w:r>
      <w:r w:rsidRPr="00EC3EC2">
        <w:t xml:space="preserve"> as measured by the NWEA MAP Assessments utilizing the Spring to Spring RIT Scores and Growth Targets will grow each year by a minimum of 1% with a long-range target of 70% of students meeting their growth targets by the end of the contract term on June 30, 2020.</w:t>
      </w:r>
    </w:p>
    <w:p w:rsidR="00D36C12" w:rsidRDefault="00D36C12" w:rsidP="00D36C12">
      <w:pPr>
        <w:pStyle w:val="ListParagraph"/>
        <w:ind w:left="1440" w:right="144"/>
        <w:rPr>
          <w:szCs w:val="24"/>
        </w:rPr>
      </w:pPr>
    </w:p>
    <w:tbl>
      <w:tblPr>
        <w:tblStyle w:val="TableGrid"/>
        <w:tblW w:w="0" w:type="auto"/>
        <w:tblInd w:w="1770" w:type="dxa"/>
        <w:tblLook w:val="04A0" w:firstRow="1" w:lastRow="0" w:firstColumn="1" w:lastColumn="0" w:noHBand="0" w:noVBand="1"/>
      </w:tblPr>
      <w:tblGrid>
        <w:gridCol w:w="1741"/>
        <w:gridCol w:w="2160"/>
        <w:gridCol w:w="2775"/>
      </w:tblGrid>
      <w:tr w:rsidR="00D36C12" w:rsidTr="00281674">
        <w:tc>
          <w:tcPr>
            <w:tcW w:w="1741" w:type="dxa"/>
          </w:tcPr>
          <w:p w:rsidR="00D36C12" w:rsidRDefault="00D36C12" w:rsidP="00281674">
            <w:pPr>
              <w:pStyle w:val="ListParagraph"/>
              <w:ind w:left="0"/>
              <w:rPr>
                <w:iCs/>
              </w:rPr>
            </w:pPr>
            <w:r>
              <w:rPr>
                <w:iCs/>
              </w:rPr>
              <w:t>Academic Year</w:t>
            </w:r>
          </w:p>
        </w:tc>
        <w:tc>
          <w:tcPr>
            <w:tcW w:w="2160" w:type="dxa"/>
          </w:tcPr>
          <w:p w:rsidR="00D36C12" w:rsidRDefault="00D36C12" w:rsidP="00281674">
            <w:pPr>
              <w:pStyle w:val="ListParagraph"/>
              <w:ind w:left="0"/>
              <w:rPr>
                <w:iCs/>
              </w:rPr>
            </w:pPr>
            <w:r>
              <w:rPr>
                <w:iCs/>
              </w:rPr>
              <w:t>Status</w:t>
            </w:r>
          </w:p>
        </w:tc>
        <w:tc>
          <w:tcPr>
            <w:tcW w:w="2775" w:type="dxa"/>
          </w:tcPr>
          <w:p w:rsidR="00D36C12" w:rsidRDefault="00D36C12" w:rsidP="00281674">
            <w:pPr>
              <w:pStyle w:val="ListParagraph"/>
              <w:ind w:left="0"/>
              <w:rPr>
                <w:iCs/>
              </w:rPr>
            </w:pPr>
            <w:r>
              <w:rPr>
                <w:iCs/>
              </w:rPr>
              <w:t>Details</w:t>
            </w:r>
          </w:p>
        </w:tc>
      </w:tr>
      <w:tr w:rsidR="00D36C12" w:rsidTr="00281674">
        <w:tc>
          <w:tcPr>
            <w:tcW w:w="1741" w:type="dxa"/>
          </w:tcPr>
          <w:p w:rsidR="00D36C12" w:rsidRDefault="00D36C12" w:rsidP="00281674">
            <w:pPr>
              <w:pStyle w:val="ListParagraph"/>
              <w:ind w:left="0"/>
              <w:rPr>
                <w:iCs/>
              </w:rPr>
            </w:pPr>
            <w:r>
              <w:rPr>
                <w:iCs/>
              </w:rPr>
              <w:t>2015-2016</w:t>
            </w:r>
          </w:p>
        </w:tc>
        <w:tc>
          <w:tcPr>
            <w:tcW w:w="2160" w:type="dxa"/>
          </w:tcPr>
          <w:p w:rsidR="00D36C12" w:rsidRDefault="00D36C12" w:rsidP="00281674">
            <w:pPr>
              <w:pStyle w:val="ListParagraph"/>
              <w:ind w:left="0"/>
              <w:rPr>
                <w:iCs/>
              </w:rPr>
            </w:pPr>
            <w:r>
              <w:rPr>
                <w:iCs/>
              </w:rPr>
              <w:t>Did not Meet</w:t>
            </w:r>
          </w:p>
        </w:tc>
        <w:tc>
          <w:tcPr>
            <w:tcW w:w="2775" w:type="dxa"/>
          </w:tcPr>
          <w:p w:rsidR="00D36C12" w:rsidRPr="00127B1A" w:rsidRDefault="00D36C12" w:rsidP="00281674">
            <w:pPr>
              <w:pStyle w:val="ListParagraph"/>
              <w:ind w:left="0"/>
              <w:rPr>
                <w:iCs/>
                <w:sz w:val="20"/>
              </w:rPr>
            </w:pPr>
            <w:r w:rsidRPr="00127B1A">
              <w:rPr>
                <w:iCs/>
                <w:sz w:val="20"/>
              </w:rPr>
              <w:t>Decrease of 2.9</w:t>
            </w:r>
            <w:r>
              <w:rPr>
                <w:iCs/>
                <w:sz w:val="20"/>
              </w:rPr>
              <w:t>% (52.1%)</w:t>
            </w:r>
          </w:p>
        </w:tc>
      </w:tr>
      <w:tr w:rsidR="00D36C12" w:rsidTr="00281674">
        <w:tc>
          <w:tcPr>
            <w:tcW w:w="1741" w:type="dxa"/>
          </w:tcPr>
          <w:p w:rsidR="00D36C12" w:rsidRDefault="00D36C12" w:rsidP="00281674">
            <w:pPr>
              <w:pStyle w:val="ListParagraph"/>
              <w:ind w:left="0"/>
              <w:rPr>
                <w:iCs/>
              </w:rPr>
            </w:pPr>
            <w:r>
              <w:rPr>
                <w:iCs/>
              </w:rPr>
              <w:t>2016-2017</w:t>
            </w:r>
          </w:p>
        </w:tc>
        <w:tc>
          <w:tcPr>
            <w:tcW w:w="2160" w:type="dxa"/>
          </w:tcPr>
          <w:p w:rsidR="00D36C12" w:rsidRDefault="00D36C12" w:rsidP="00281674">
            <w:pPr>
              <w:pStyle w:val="ListParagraph"/>
              <w:ind w:left="0"/>
              <w:rPr>
                <w:iCs/>
              </w:rPr>
            </w:pPr>
            <w:r>
              <w:rPr>
                <w:iCs/>
              </w:rPr>
              <w:t>Met</w:t>
            </w:r>
          </w:p>
        </w:tc>
        <w:tc>
          <w:tcPr>
            <w:tcW w:w="2775" w:type="dxa"/>
          </w:tcPr>
          <w:p w:rsidR="00D36C12" w:rsidRPr="00127B1A" w:rsidRDefault="00D36C12" w:rsidP="00281674">
            <w:pPr>
              <w:pStyle w:val="ListParagraph"/>
              <w:ind w:left="0"/>
              <w:rPr>
                <w:iCs/>
                <w:sz w:val="20"/>
              </w:rPr>
            </w:pPr>
            <w:r>
              <w:rPr>
                <w:iCs/>
                <w:sz w:val="20"/>
              </w:rPr>
              <w:t>Increase of 4% (56.0%)</w:t>
            </w:r>
          </w:p>
        </w:tc>
      </w:tr>
      <w:tr w:rsidR="00D36C12" w:rsidTr="00281674">
        <w:tc>
          <w:tcPr>
            <w:tcW w:w="1741" w:type="dxa"/>
          </w:tcPr>
          <w:p w:rsidR="00D36C12" w:rsidRDefault="00D36C12" w:rsidP="00281674">
            <w:pPr>
              <w:pStyle w:val="ListParagraph"/>
              <w:ind w:left="0"/>
              <w:rPr>
                <w:iCs/>
              </w:rPr>
            </w:pPr>
            <w:r>
              <w:rPr>
                <w:iCs/>
              </w:rPr>
              <w:t>2017-2018</w:t>
            </w:r>
          </w:p>
        </w:tc>
        <w:tc>
          <w:tcPr>
            <w:tcW w:w="2160" w:type="dxa"/>
          </w:tcPr>
          <w:p w:rsidR="00D36C12" w:rsidRDefault="00D36C12" w:rsidP="00281674">
            <w:pPr>
              <w:pStyle w:val="ListParagraph"/>
              <w:ind w:left="0"/>
              <w:rPr>
                <w:iCs/>
              </w:rPr>
            </w:pPr>
          </w:p>
        </w:tc>
        <w:tc>
          <w:tcPr>
            <w:tcW w:w="2775" w:type="dxa"/>
          </w:tcPr>
          <w:p w:rsidR="00D36C12" w:rsidRPr="00127B1A" w:rsidRDefault="00D36C12" w:rsidP="00281674">
            <w:pPr>
              <w:pStyle w:val="ListParagraph"/>
              <w:ind w:left="0"/>
              <w:rPr>
                <w:iCs/>
                <w:sz w:val="20"/>
              </w:rPr>
            </w:pPr>
          </w:p>
        </w:tc>
      </w:tr>
      <w:tr w:rsidR="00D36C12" w:rsidTr="00281674">
        <w:tc>
          <w:tcPr>
            <w:tcW w:w="1741" w:type="dxa"/>
          </w:tcPr>
          <w:p w:rsidR="00D36C12" w:rsidRDefault="00D36C12" w:rsidP="00281674">
            <w:pPr>
              <w:pStyle w:val="ListParagraph"/>
              <w:ind w:left="0"/>
              <w:rPr>
                <w:iCs/>
              </w:rPr>
            </w:pPr>
            <w:r>
              <w:rPr>
                <w:iCs/>
              </w:rPr>
              <w:t>2018-2019</w:t>
            </w:r>
          </w:p>
        </w:tc>
        <w:tc>
          <w:tcPr>
            <w:tcW w:w="2160" w:type="dxa"/>
          </w:tcPr>
          <w:p w:rsidR="00D36C12" w:rsidRDefault="00D36C12" w:rsidP="00281674">
            <w:pPr>
              <w:pStyle w:val="ListParagraph"/>
              <w:ind w:left="0"/>
              <w:rPr>
                <w:iCs/>
              </w:rPr>
            </w:pPr>
          </w:p>
        </w:tc>
        <w:tc>
          <w:tcPr>
            <w:tcW w:w="2775" w:type="dxa"/>
          </w:tcPr>
          <w:p w:rsidR="00D36C12" w:rsidRPr="00127B1A" w:rsidRDefault="00D36C12" w:rsidP="00281674">
            <w:pPr>
              <w:pStyle w:val="ListParagraph"/>
              <w:ind w:left="0"/>
              <w:rPr>
                <w:iCs/>
                <w:sz w:val="20"/>
              </w:rPr>
            </w:pPr>
          </w:p>
        </w:tc>
      </w:tr>
    </w:tbl>
    <w:p w:rsidR="00D36C12" w:rsidRDefault="00D36C12" w:rsidP="00D36C12">
      <w:pPr>
        <w:pStyle w:val="ListParagraph"/>
        <w:ind w:left="1440" w:right="144"/>
        <w:rPr>
          <w:szCs w:val="24"/>
        </w:rPr>
      </w:pPr>
    </w:p>
    <w:p w:rsidR="00D36C12" w:rsidRPr="00EC3EC2" w:rsidRDefault="00D36C12" w:rsidP="00D36C12">
      <w:pPr>
        <w:pStyle w:val="ListParagraph"/>
        <w:numPr>
          <w:ilvl w:val="0"/>
          <w:numId w:val="2"/>
        </w:numPr>
        <w:ind w:right="144"/>
        <w:rPr>
          <w:sz w:val="32"/>
          <w:szCs w:val="24"/>
        </w:rPr>
      </w:pPr>
      <w:r w:rsidRPr="00EC3EC2">
        <w:t>Using the 2014-2015 MAP growth data as a baseline, the percentage of UMA general education students, who have been continuously enrolled (having tested both Seasons), who meet or exceed their NWEA id</w:t>
      </w:r>
      <w:r>
        <w:t>entified Growth Targets for reading</w:t>
      </w:r>
      <w:r w:rsidRPr="00EC3EC2">
        <w:t xml:space="preserve"> as measured by the NWEA MAP Assessments utilizing the Spring to Spring RIT Scores and Growth Targets will grow each year by a minimum of 1% with a long-range target of 70% of students meeting their growth targets by the end of the contract term on June 30, 2020.</w:t>
      </w:r>
    </w:p>
    <w:p w:rsidR="00D36C12" w:rsidRDefault="00D36C12" w:rsidP="00D36C12">
      <w:pPr>
        <w:pStyle w:val="ListParagraph"/>
        <w:ind w:left="1440" w:right="144"/>
        <w:rPr>
          <w:szCs w:val="24"/>
        </w:rPr>
      </w:pPr>
    </w:p>
    <w:tbl>
      <w:tblPr>
        <w:tblStyle w:val="TableGrid"/>
        <w:tblW w:w="0" w:type="auto"/>
        <w:tblInd w:w="1770" w:type="dxa"/>
        <w:tblLook w:val="04A0" w:firstRow="1" w:lastRow="0" w:firstColumn="1" w:lastColumn="0" w:noHBand="0" w:noVBand="1"/>
      </w:tblPr>
      <w:tblGrid>
        <w:gridCol w:w="1741"/>
        <w:gridCol w:w="2160"/>
        <w:gridCol w:w="2775"/>
      </w:tblGrid>
      <w:tr w:rsidR="00D36C12" w:rsidTr="00281674">
        <w:tc>
          <w:tcPr>
            <w:tcW w:w="1741" w:type="dxa"/>
          </w:tcPr>
          <w:p w:rsidR="00D36C12" w:rsidRDefault="00D36C12" w:rsidP="00281674">
            <w:pPr>
              <w:pStyle w:val="ListParagraph"/>
              <w:ind w:left="0"/>
              <w:rPr>
                <w:iCs/>
              </w:rPr>
            </w:pPr>
            <w:r>
              <w:rPr>
                <w:iCs/>
              </w:rPr>
              <w:t>Academic Year</w:t>
            </w:r>
          </w:p>
        </w:tc>
        <w:tc>
          <w:tcPr>
            <w:tcW w:w="2160" w:type="dxa"/>
          </w:tcPr>
          <w:p w:rsidR="00D36C12" w:rsidRDefault="00D36C12" w:rsidP="00281674">
            <w:pPr>
              <w:pStyle w:val="ListParagraph"/>
              <w:ind w:left="0"/>
              <w:rPr>
                <w:iCs/>
              </w:rPr>
            </w:pPr>
            <w:r>
              <w:rPr>
                <w:iCs/>
              </w:rPr>
              <w:t>Status</w:t>
            </w:r>
          </w:p>
        </w:tc>
        <w:tc>
          <w:tcPr>
            <w:tcW w:w="2775" w:type="dxa"/>
          </w:tcPr>
          <w:p w:rsidR="00D36C12" w:rsidRDefault="00D36C12" w:rsidP="00281674">
            <w:pPr>
              <w:pStyle w:val="ListParagraph"/>
              <w:ind w:left="0"/>
              <w:rPr>
                <w:iCs/>
              </w:rPr>
            </w:pPr>
            <w:r>
              <w:rPr>
                <w:iCs/>
              </w:rPr>
              <w:t>Details</w:t>
            </w:r>
          </w:p>
        </w:tc>
      </w:tr>
      <w:tr w:rsidR="00D36C12" w:rsidTr="00281674">
        <w:tc>
          <w:tcPr>
            <w:tcW w:w="1741" w:type="dxa"/>
          </w:tcPr>
          <w:p w:rsidR="00D36C12" w:rsidRDefault="00D36C12" w:rsidP="00281674">
            <w:pPr>
              <w:pStyle w:val="ListParagraph"/>
              <w:ind w:left="0"/>
              <w:rPr>
                <w:iCs/>
              </w:rPr>
            </w:pPr>
            <w:r>
              <w:rPr>
                <w:iCs/>
              </w:rPr>
              <w:t>2015-2016</w:t>
            </w:r>
          </w:p>
        </w:tc>
        <w:tc>
          <w:tcPr>
            <w:tcW w:w="2160" w:type="dxa"/>
          </w:tcPr>
          <w:p w:rsidR="00D36C12" w:rsidRDefault="00D36C12" w:rsidP="00281674">
            <w:pPr>
              <w:pStyle w:val="ListParagraph"/>
              <w:ind w:left="0"/>
              <w:rPr>
                <w:iCs/>
              </w:rPr>
            </w:pPr>
            <w:r>
              <w:rPr>
                <w:iCs/>
              </w:rPr>
              <w:t>Did not meet</w:t>
            </w:r>
          </w:p>
        </w:tc>
        <w:tc>
          <w:tcPr>
            <w:tcW w:w="2775" w:type="dxa"/>
          </w:tcPr>
          <w:p w:rsidR="00D36C12" w:rsidRPr="00127B1A" w:rsidRDefault="00D36C12" w:rsidP="00281674">
            <w:pPr>
              <w:pStyle w:val="ListParagraph"/>
              <w:ind w:left="0"/>
              <w:rPr>
                <w:iCs/>
                <w:sz w:val="20"/>
              </w:rPr>
            </w:pPr>
            <w:r>
              <w:rPr>
                <w:iCs/>
                <w:sz w:val="20"/>
              </w:rPr>
              <w:t xml:space="preserve">Decrease of 1.8% </w:t>
            </w:r>
          </w:p>
        </w:tc>
      </w:tr>
      <w:tr w:rsidR="00D36C12" w:rsidTr="00281674">
        <w:tc>
          <w:tcPr>
            <w:tcW w:w="1741" w:type="dxa"/>
          </w:tcPr>
          <w:p w:rsidR="00D36C12" w:rsidRDefault="00D36C12" w:rsidP="00281674">
            <w:pPr>
              <w:pStyle w:val="ListParagraph"/>
              <w:ind w:left="0"/>
              <w:rPr>
                <w:iCs/>
              </w:rPr>
            </w:pPr>
            <w:r>
              <w:rPr>
                <w:iCs/>
              </w:rPr>
              <w:t>2016-2017</w:t>
            </w:r>
          </w:p>
        </w:tc>
        <w:tc>
          <w:tcPr>
            <w:tcW w:w="2160" w:type="dxa"/>
          </w:tcPr>
          <w:p w:rsidR="00D36C12" w:rsidRDefault="00D36C12" w:rsidP="00281674">
            <w:pPr>
              <w:pStyle w:val="ListParagraph"/>
              <w:ind w:left="0"/>
              <w:rPr>
                <w:iCs/>
              </w:rPr>
            </w:pPr>
            <w:r>
              <w:rPr>
                <w:iCs/>
              </w:rPr>
              <w:t>Did not meet</w:t>
            </w:r>
          </w:p>
        </w:tc>
        <w:tc>
          <w:tcPr>
            <w:tcW w:w="2775" w:type="dxa"/>
          </w:tcPr>
          <w:p w:rsidR="00D36C12" w:rsidRPr="00127B1A" w:rsidRDefault="00D36C12" w:rsidP="00281674">
            <w:pPr>
              <w:pStyle w:val="ListParagraph"/>
              <w:ind w:left="0"/>
              <w:rPr>
                <w:iCs/>
                <w:sz w:val="20"/>
              </w:rPr>
            </w:pPr>
            <w:r>
              <w:rPr>
                <w:iCs/>
                <w:sz w:val="20"/>
              </w:rPr>
              <w:t>Decrease of 16.6% (38.9% did not test both seasons)</w:t>
            </w:r>
          </w:p>
        </w:tc>
      </w:tr>
      <w:tr w:rsidR="00D36C12" w:rsidTr="00281674">
        <w:tc>
          <w:tcPr>
            <w:tcW w:w="1741" w:type="dxa"/>
          </w:tcPr>
          <w:p w:rsidR="00D36C12" w:rsidRDefault="00D36C12" w:rsidP="00281674">
            <w:pPr>
              <w:pStyle w:val="ListParagraph"/>
              <w:ind w:left="0"/>
              <w:rPr>
                <w:iCs/>
              </w:rPr>
            </w:pPr>
            <w:r>
              <w:rPr>
                <w:iCs/>
              </w:rPr>
              <w:t>2017-2018</w:t>
            </w:r>
          </w:p>
        </w:tc>
        <w:tc>
          <w:tcPr>
            <w:tcW w:w="2160" w:type="dxa"/>
          </w:tcPr>
          <w:p w:rsidR="00D36C12" w:rsidRDefault="00D36C12" w:rsidP="00281674">
            <w:pPr>
              <w:pStyle w:val="ListParagraph"/>
              <w:ind w:left="0"/>
              <w:rPr>
                <w:iCs/>
              </w:rPr>
            </w:pPr>
          </w:p>
        </w:tc>
        <w:tc>
          <w:tcPr>
            <w:tcW w:w="2775" w:type="dxa"/>
          </w:tcPr>
          <w:p w:rsidR="00D36C12" w:rsidRPr="00127B1A" w:rsidRDefault="00D36C12" w:rsidP="00281674">
            <w:pPr>
              <w:pStyle w:val="ListParagraph"/>
              <w:ind w:left="0"/>
              <w:rPr>
                <w:iCs/>
                <w:sz w:val="20"/>
              </w:rPr>
            </w:pPr>
          </w:p>
        </w:tc>
      </w:tr>
      <w:tr w:rsidR="00D36C12" w:rsidTr="00281674">
        <w:tc>
          <w:tcPr>
            <w:tcW w:w="1741" w:type="dxa"/>
          </w:tcPr>
          <w:p w:rsidR="00D36C12" w:rsidRDefault="00D36C12" w:rsidP="00281674">
            <w:pPr>
              <w:pStyle w:val="ListParagraph"/>
              <w:ind w:left="0"/>
              <w:rPr>
                <w:iCs/>
              </w:rPr>
            </w:pPr>
            <w:r>
              <w:rPr>
                <w:iCs/>
              </w:rPr>
              <w:t>2018-2019</w:t>
            </w:r>
          </w:p>
        </w:tc>
        <w:tc>
          <w:tcPr>
            <w:tcW w:w="2160" w:type="dxa"/>
          </w:tcPr>
          <w:p w:rsidR="00D36C12" w:rsidRDefault="00D36C12" w:rsidP="00281674">
            <w:pPr>
              <w:pStyle w:val="ListParagraph"/>
              <w:ind w:left="0"/>
              <w:rPr>
                <w:iCs/>
              </w:rPr>
            </w:pPr>
          </w:p>
        </w:tc>
        <w:tc>
          <w:tcPr>
            <w:tcW w:w="2775" w:type="dxa"/>
          </w:tcPr>
          <w:p w:rsidR="00D36C12" w:rsidRPr="00127B1A" w:rsidRDefault="00D36C12" w:rsidP="00281674">
            <w:pPr>
              <w:pStyle w:val="ListParagraph"/>
              <w:ind w:left="0"/>
              <w:rPr>
                <w:iCs/>
                <w:sz w:val="20"/>
              </w:rPr>
            </w:pPr>
          </w:p>
        </w:tc>
      </w:tr>
    </w:tbl>
    <w:p w:rsidR="00D36C12" w:rsidRDefault="00D36C12" w:rsidP="00D36C12">
      <w:pPr>
        <w:ind w:right="144"/>
        <w:rPr>
          <w:szCs w:val="24"/>
        </w:rPr>
      </w:pPr>
    </w:p>
    <w:p w:rsidR="00D36C12" w:rsidRDefault="00D36C12" w:rsidP="00D36C12">
      <w:pPr>
        <w:pStyle w:val="ListParagraph"/>
        <w:numPr>
          <w:ilvl w:val="0"/>
          <w:numId w:val="2"/>
        </w:numPr>
        <w:ind w:right="144"/>
        <w:rPr>
          <w:szCs w:val="24"/>
        </w:rPr>
      </w:pPr>
      <w:r w:rsidRPr="009968D1">
        <w:t>Students who receive special education services, taking the NWEA Measures of Academic Progress will meet or exceed their expected growth targets as determined by their IEP team and indicated in their IEP academic goals</w:t>
      </w:r>
      <w:r w:rsidRPr="009968D1">
        <w:rPr>
          <w:szCs w:val="24"/>
        </w:rPr>
        <w:br/>
      </w:r>
    </w:p>
    <w:tbl>
      <w:tblPr>
        <w:tblStyle w:val="TableGrid"/>
        <w:tblW w:w="0" w:type="auto"/>
        <w:tblInd w:w="1770" w:type="dxa"/>
        <w:tblLook w:val="04A0" w:firstRow="1" w:lastRow="0" w:firstColumn="1" w:lastColumn="0" w:noHBand="0" w:noVBand="1"/>
      </w:tblPr>
      <w:tblGrid>
        <w:gridCol w:w="1741"/>
        <w:gridCol w:w="2160"/>
        <w:gridCol w:w="2775"/>
      </w:tblGrid>
      <w:tr w:rsidR="00D36C12" w:rsidTr="00281674">
        <w:tc>
          <w:tcPr>
            <w:tcW w:w="1741" w:type="dxa"/>
          </w:tcPr>
          <w:p w:rsidR="00D36C12" w:rsidRDefault="00D36C12" w:rsidP="00281674">
            <w:pPr>
              <w:pStyle w:val="ListParagraph"/>
              <w:ind w:left="0"/>
              <w:rPr>
                <w:iCs/>
              </w:rPr>
            </w:pPr>
            <w:r>
              <w:rPr>
                <w:iCs/>
              </w:rPr>
              <w:t>Academic Year</w:t>
            </w:r>
          </w:p>
        </w:tc>
        <w:tc>
          <w:tcPr>
            <w:tcW w:w="2160" w:type="dxa"/>
          </w:tcPr>
          <w:p w:rsidR="00D36C12" w:rsidRDefault="00D36C12" w:rsidP="00281674">
            <w:pPr>
              <w:pStyle w:val="ListParagraph"/>
              <w:ind w:left="0"/>
              <w:rPr>
                <w:iCs/>
              </w:rPr>
            </w:pPr>
            <w:r>
              <w:rPr>
                <w:iCs/>
              </w:rPr>
              <w:t>Status</w:t>
            </w:r>
          </w:p>
        </w:tc>
        <w:tc>
          <w:tcPr>
            <w:tcW w:w="2775" w:type="dxa"/>
          </w:tcPr>
          <w:p w:rsidR="00D36C12" w:rsidRDefault="00D36C12" w:rsidP="00281674">
            <w:pPr>
              <w:pStyle w:val="ListParagraph"/>
              <w:ind w:left="0"/>
              <w:rPr>
                <w:iCs/>
              </w:rPr>
            </w:pPr>
            <w:r>
              <w:rPr>
                <w:iCs/>
              </w:rPr>
              <w:t>Details</w:t>
            </w:r>
          </w:p>
        </w:tc>
      </w:tr>
      <w:tr w:rsidR="00D36C12" w:rsidTr="00281674">
        <w:tc>
          <w:tcPr>
            <w:tcW w:w="1741" w:type="dxa"/>
          </w:tcPr>
          <w:p w:rsidR="00D36C12" w:rsidRDefault="00D36C12" w:rsidP="00281674">
            <w:pPr>
              <w:pStyle w:val="ListParagraph"/>
              <w:ind w:left="0"/>
              <w:rPr>
                <w:iCs/>
              </w:rPr>
            </w:pPr>
            <w:r>
              <w:rPr>
                <w:iCs/>
              </w:rPr>
              <w:t>2015-2016</w:t>
            </w:r>
          </w:p>
        </w:tc>
        <w:tc>
          <w:tcPr>
            <w:tcW w:w="2160" w:type="dxa"/>
          </w:tcPr>
          <w:p w:rsidR="00D36C12" w:rsidRDefault="00D36C12" w:rsidP="00281674">
            <w:pPr>
              <w:pStyle w:val="ListParagraph"/>
              <w:ind w:left="0"/>
              <w:rPr>
                <w:iCs/>
              </w:rPr>
            </w:pPr>
            <w:r>
              <w:rPr>
                <w:iCs/>
              </w:rPr>
              <w:t>Met</w:t>
            </w:r>
          </w:p>
        </w:tc>
        <w:tc>
          <w:tcPr>
            <w:tcW w:w="2775" w:type="dxa"/>
          </w:tcPr>
          <w:p w:rsidR="00D36C12" w:rsidRPr="00127B1A" w:rsidRDefault="00D36C12" w:rsidP="00281674">
            <w:pPr>
              <w:pStyle w:val="ListParagraph"/>
              <w:ind w:left="0"/>
              <w:rPr>
                <w:iCs/>
                <w:sz w:val="20"/>
              </w:rPr>
            </w:pPr>
            <w:r>
              <w:rPr>
                <w:iCs/>
                <w:sz w:val="20"/>
              </w:rPr>
              <w:t>Math and reading</w:t>
            </w:r>
          </w:p>
        </w:tc>
      </w:tr>
      <w:tr w:rsidR="00D36C12" w:rsidTr="00281674">
        <w:tc>
          <w:tcPr>
            <w:tcW w:w="1741" w:type="dxa"/>
          </w:tcPr>
          <w:p w:rsidR="00D36C12" w:rsidRDefault="00D36C12" w:rsidP="00281674">
            <w:pPr>
              <w:pStyle w:val="ListParagraph"/>
              <w:ind w:left="0"/>
              <w:rPr>
                <w:iCs/>
              </w:rPr>
            </w:pPr>
            <w:r>
              <w:rPr>
                <w:iCs/>
              </w:rPr>
              <w:t>2016-2017</w:t>
            </w:r>
          </w:p>
        </w:tc>
        <w:tc>
          <w:tcPr>
            <w:tcW w:w="2160" w:type="dxa"/>
          </w:tcPr>
          <w:p w:rsidR="00D36C12" w:rsidRDefault="00D36C12" w:rsidP="00281674">
            <w:pPr>
              <w:pStyle w:val="ListParagraph"/>
              <w:ind w:left="0"/>
              <w:rPr>
                <w:iCs/>
              </w:rPr>
            </w:pPr>
            <w:r>
              <w:rPr>
                <w:iCs/>
              </w:rPr>
              <w:t>Partially Met</w:t>
            </w:r>
          </w:p>
        </w:tc>
        <w:tc>
          <w:tcPr>
            <w:tcW w:w="2775" w:type="dxa"/>
          </w:tcPr>
          <w:p w:rsidR="00D36C12" w:rsidRPr="00127B1A" w:rsidRDefault="00D36C12" w:rsidP="00281674">
            <w:pPr>
              <w:pStyle w:val="ListParagraph"/>
              <w:ind w:left="0"/>
              <w:rPr>
                <w:iCs/>
                <w:sz w:val="20"/>
              </w:rPr>
            </w:pPr>
            <w:r>
              <w:rPr>
                <w:iCs/>
                <w:sz w:val="20"/>
              </w:rPr>
              <w:t>Math only</w:t>
            </w:r>
          </w:p>
        </w:tc>
      </w:tr>
      <w:tr w:rsidR="00D36C12" w:rsidTr="00281674">
        <w:tc>
          <w:tcPr>
            <w:tcW w:w="1741" w:type="dxa"/>
          </w:tcPr>
          <w:p w:rsidR="00D36C12" w:rsidRDefault="00D36C12" w:rsidP="00281674">
            <w:pPr>
              <w:pStyle w:val="ListParagraph"/>
              <w:ind w:left="0"/>
              <w:rPr>
                <w:iCs/>
              </w:rPr>
            </w:pPr>
            <w:r>
              <w:rPr>
                <w:iCs/>
              </w:rPr>
              <w:t>2017-2018</w:t>
            </w:r>
          </w:p>
        </w:tc>
        <w:tc>
          <w:tcPr>
            <w:tcW w:w="2160" w:type="dxa"/>
          </w:tcPr>
          <w:p w:rsidR="00D36C12" w:rsidRDefault="00D36C12" w:rsidP="00281674">
            <w:pPr>
              <w:pStyle w:val="ListParagraph"/>
              <w:ind w:left="0"/>
              <w:rPr>
                <w:iCs/>
              </w:rPr>
            </w:pPr>
          </w:p>
        </w:tc>
        <w:tc>
          <w:tcPr>
            <w:tcW w:w="2775" w:type="dxa"/>
          </w:tcPr>
          <w:p w:rsidR="00D36C12" w:rsidRDefault="00D36C12" w:rsidP="00281674">
            <w:pPr>
              <w:pStyle w:val="ListParagraph"/>
              <w:ind w:left="0"/>
              <w:rPr>
                <w:iCs/>
              </w:rPr>
            </w:pPr>
          </w:p>
        </w:tc>
      </w:tr>
      <w:tr w:rsidR="00D36C12" w:rsidTr="00281674">
        <w:tc>
          <w:tcPr>
            <w:tcW w:w="1741" w:type="dxa"/>
          </w:tcPr>
          <w:p w:rsidR="00D36C12" w:rsidRDefault="00D36C12" w:rsidP="00281674">
            <w:pPr>
              <w:pStyle w:val="ListParagraph"/>
              <w:ind w:left="0"/>
              <w:rPr>
                <w:iCs/>
              </w:rPr>
            </w:pPr>
            <w:r>
              <w:rPr>
                <w:iCs/>
              </w:rPr>
              <w:t>2018-2019</w:t>
            </w:r>
          </w:p>
        </w:tc>
        <w:tc>
          <w:tcPr>
            <w:tcW w:w="2160" w:type="dxa"/>
          </w:tcPr>
          <w:p w:rsidR="00D36C12" w:rsidRDefault="00D36C12" w:rsidP="00281674">
            <w:pPr>
              <w:pStyle w:val="ListParagraph"/>
              <w:ind w:left="0"/>
              <w:rPr>
                <w:iCs/>
              </w:rPr>
            </w:pPr>
          </w:p>
        </w:tc>
        <w:tc>
          <w:tcPr>
            <w:tcW w:w="2775" w:type="dxa"/>
          </w:tcPr>
          <w:p w:rsidR="00D36C12" w:rsidRDefault="00D36C12" w:rsidP="00281674">
            <w:pPr>
              <w:pStyle w:val="ListParagraph"/>
              <w:ind w:left="0"/>
              <w:rPr>
                <w:iCs/>
              </w:rPr>
            </w:pPr>
          </w:p>
        </w:tc>
      </w:tr>
    </w:tbl>
    <w:p w:rsidR="00D36C12" w:rsidRPr="009968D1" w:rsidRDefault="00D36C12" w:rsidP="00D36C12">
      <w:pPr>
        <w:pStyle w:val="ListParagraph"/>
        <w:ind w:left="1440" w:right="144"/>
        <w:rPr>
          <w:szCs w:val="24"/>
        </w:rPr>
      </w:pPr>
    </w:p>
    <w:p w:rsidR="00D36C12" w:rsidRPr="009968D1" w:rsidRDefault="00D36C12" w:rsidP="00D36C12">
      <w:pPr>
        <w:pStyle w:val="ListParagraph"/>
        <w:ind w:left="360" w:right="144"/>
        <w:rPr>
          <w:szCs w:val="24"/>
        </w:rPr>
      </w:pPr>
      <w:r>
        <w:rPr>
          <w:szCs w:val="24"/>
        </w:rPr>
        <w:t>Additional</w:t>
      </w:r>
      <w:r w:rsidRPr="00AA0CC6">
        <w:rPr>
          <w:szCs w:val="24"/>
        </w:rPr>
        <w:t xml:space="preserve"> goals that the </w:t>
      </w:r>
      <w:r>
        <w:rPr>
          <w:szCs w:val="24"/>
        </w:rPr>
        <w:t>district</w:t>
      </w:r>
      <w:r w:rsidRPr="00AA0CC6">
        <w:rPr>
          <w:szCs w:val="24"/>
        </w:rPr>
        <w:t xml:space="preserve"> expects to achieve and the means by which achievement of each goal is determined are:</w:t>
      </w:r>
      <w:r w:rsidRPr="009968D1">
        <w:rPr>
          <w:szCs w:val="24"/>
        </w:rPr>
        <w:br/>
      </w:r>
    </w:p>
    <w:p w:rsidR="00D36C12" w:rsidRDefault="00D36C12" w:rsidP="00D36C12">
      <w:pPr>
        <w:pStyle w:val="ListParagraph"/>
        <w:numPr>
          <w:ilvl w:val="0"/>
          <w:numId w:val="1"/>
        </w:numPr>
        <w:rPr>
          <w:szCs w:val="28"/>
        </w:rPr>
      </w:pPr>
      <w:bookmarkStart w:id="0" w:name="_Hlk498051231"/>
      <w:r w:rsidRPr="009968D1">
        <w:rPr>
          <w:szCs w:val="28"/>
        </w:rPr>
        <w:t>UMA will have a minimum of 80% graduate rate within four years from the beginning of their 9th grade year</w:t>
      </w:r>
      <w:bookmarkEnd w:id="0"/>
      <w:r w:rsidRPr="009968D1">
        <w:rPr>
          <w:szCs w:val="28"/>
        </w:rPr>
        <w:t>.</w:t>
      </w:r>
    </w:p>
    <w:p w:rsidR="00D36C12" w:rsidRDefault="00D36C12" w:rsidP="00D36C12">
      <w:pPr>
        <w:rPr>
          <w:szCs w:val="28"/>
        </w:rPr>
      </w:pPr>
    </w:p>
    <w:tbl>
      <w:tblPr>
        <w:tblStyle w:val="TableGrid"/>
        <w:tblW w:w="0" w:type="auto"/>
        <w:tblInd w:w="1770" w:type="dxa"/>
        <w:tblLook w:val="04A0" w:firstRow="1" w:lastRow="0" w:firstColumn="1" w:lastColumn="0" w:noHBand="0" w:noVBand="1"/>
      </w:tblPr>
      <w:tblGrid>
        <w:gridCol w:w="1741"/>
        <w:gridCol w:w="2160"/>
        <w:gridCol w:w="1974"/>
      </w:tblGrid>
      <w:tr w:rsidR="00D36C12" w:rsidTr="00281674">
        <w:tc>
          <w:tcPr>
            <w:tcW w:w="1741" w:type="dxa"/>
          </w:tcPr>
          <w:p w:rsidR="00D36C12" w:rsidRDefault="00D36C12" w:rsidP="00281674">
            <w:pPr>
              <w:pStyle w:val="ListParagraph"/>
              <w:ind w:left="0"/>
              <w:rPr>
                <w:iCs/>
              </w:rPr>
            </w:pPr>
            <w:r>
              <w:rPr>
                <w:iCs/>
              </w:rPr>
              <w:t>Academic Year</w:t>
            </w:r>
          </w:p>
        </w:tc>
        <w:tc>
          <w:tcPr>
            <w:tcW w:w="2160" w:type="dxa"/>
          </w:tcPr>
          <w:p w:rsidR="00D36C12" w:rsidRDefault="00D36C12" w:rsidP="00281674">
            <w:pPr>
              <w:pStyle w:val="ListParagraph"/>
              <w:ind w:left="0"/>
              <w:rPr>
                <w:iCs/>
              </w:rPr>
            </w:pPr>
            <w:r>
              <w:rPr>
                <w:iCs/>
              </w:rPr>
              <w:t>Status</w:t>
            </w:r>
          </w:p>
        </w:tc>
        <w:tc>
          <w:tcPr>
            <w:tcW w:w="1974" w:type="dxa"/>
          </w:tcPr>
          <w:p w:rsidR="00D36C12" w:rsidRDefault="00D36C12" w:rsidP="00281674">
            <w:pPr>
              <w:pStyle w:val="ListParagraph"/>
              <w:ind w:left="0"/>
              <w:rPr>
                <w:iCs/>
              </w:rPr>
            </w:pPr>
            <w:r>
              <w:rPr>
                <w:iCs/>
              </w:rPr>
              <w:t>Details</w:t>
            </w:r>
          </w:p>
        </w:tc>
      </w:tr>
      <w:tr w:rsidR="00D36C12" w:rsidTr="00281674">
        <w:tc>
          <w:tcPr>
            <w:tcW w:w="1741" w:type="dxa"/>
          </w:tcPr>
          <w:p w:rsidR="00D36C12" w:rsidRDefault="00D36C12" w:rsidP="00281674">
            <w:pPr>
              <w:pStyle w:val="ListParagraph"/>
              <w:ind w:left="0"/>
              <w:rPr>
                <w:iCs/>
              </w:rPr>
            </w:pPr>
            <w:r>
              <w:rPr>
                <w:iCs/>
              </w:rPr>
              <w:t>2015-2016</w:t>
            </w:r>
          </w:p>
        </w:tc>
        <w:tc>
          <w:tcPr>
            <w:tcW w:w="2160" w:type="dxa"/>
          </w:tcPr>
          <w:p w:rsidR="00D36C12" w:rsidRDefault="00D36C12" w:rsidP="00281674">
            <w:pPr>
              <w:pStyle w:val="ListParagraph"/>
              <w:ind w:left="0"/>
              <w:rPr>
                <w:iCs/>
              </w:rPr>
            </w:pPr>
            <w:r>
              <w:rPr>
                <w:iCs/>
              </w:rPr>
              <w:t>Met</w:t>
            </w:r>
          </w:p>
        </w:tc>
        <w:tc>
          <w:tcPr>
            <w:tcW w:w="1974" w:type="dxa"/>
          </w:tcPr>
          <w:p w:rsidR="00D36C12" w:rsidRDefault="00D36C12" w:rsidP="00281674">
            <w:pPr>
              <w:pStyle w:val="ListParagraph"/>
              <w:ind w:left="0"/>
              <w:rPr>
                <w:iCs/>
              </w:rPr>
            </w:pPr>
            <w:r>
              <w:rPr>
                <w:iCs/>
                <w:sz w:val="20"/>
              </w:rPr>
              <w:t>100%</w:t>
            </w:r>
          </w:p>
        </w:tc>
      </w:tr>
      <w:tr w:rsidR="00D36C12" w:rsidTr="00281674">
        <w:tc>
          <w:tcPr>
            <w:tcW w:w="1741" w:type="dxa"/>
          </w:tcPr>
          <w:p w:rsidR="00D36C12" w:rsidRDefault="00D36C12" w:rsidP="00281674">
            <w:pPr>
              <w:pStyle w:val="ListParagraph"/>
              <w:ind w:left="0"/>
              <w:rPr>
                <w:iCs/>
              </w:rPr>
            </w:pPr>
            <w:r>
              <w:rPr>
                <w:iCs/>
              </w:rPr>
              <w:lastRenderedPageBreak/>
              <w:t>2016-2017</w:t>
            </w:r>
          </w:p>
        </w:tc>
        <w:tc>
          <w:tcPr>
            <w:tcW w:w="2160" w:type="dxa"/>
          </w:tcPr>
          <w:p w:rsidR="00D36C12" w:rsidRDefault="00D36C12" w:rsidP="00281674">
            <w:pPr>
              <w:pStyle w:val="ListParagraph"/>
              <w:ind w:left="0"/>
              <w:rPr>
                <w:iCs/>
              </w:rPr>
            </w:pPr>
            <w:r>
              <w:rPr>
                <w:iCs/>
              </w:rPr>
              <w:t>Met</w:t>
            </w:r>
          </w:p>
        </w:tc>
        <w:tc>
          <w:tcPr>
            <w:tcW w:w="1974" w:type="dxa"/>
          </w:tcPr>
          <w:p w:rsidR="00D36C12" w:rsidRDefault="00D36C12" w:rsidP="00281674">
            <w:pPr>
              <w:pStyle w:val="ListParagraph"/>
              <w:ind w:left="0"/>
              <w:rPr>
                <w:iCs/>
              </w:rPr>
            </w:pPr>
            <w:r>
              <w:rPr>
                <w:iCs/>
                <w:sz w:val="20"/>
              </w:rPr>
              <w:t>95%</w:t>
            </w:r>
          </w:p>
        </w:tc>
      </w:tr>
      <w:tr w:rsidR="00D36C12" w:rsidTr="00281674">
        <w:tc>
          <w:tcPr>
            <w:tcW w:w="1741" w:type="dxa"/>
          </w:tcPr>
          <w:p w:rsidR="00D36C12" w:rsidRDefault="00D36C12" w:rsidP="00281674">
            <w:pPr>
              <w:pStyle w:val="ListParagraph"/>
              <w:ind w:left="0"/>
              <w:rPr>
                <w:iCs/>
              </w:rPr>
            </w:pPr>
            <w:r>
              <w:rPr>
                <w:iCs/>
              </w:rPr>
              <w:t>2017-2018</w:t>
            </w:r>
          </w:p>
        </w:tc>
        <w:tc>
          <w:tcPr>
            <w:tcW w:w="2160" w:type="dxa"/>
          </w:tcPr>
          <w:p w:rsidR="00D36C12" w:rsidRDefault="00D36C12" w:rsidP="00281674">
            <w:pPr>
              <w:pStyle w:val="ListParagraph"/>
              <w:ind w:left="0"/>
              <w:rPr>
                <w:iCs/>
              </w:rPr>
            </w:pPr>
            <w:r>
              <w:rPr>
                <w:iCs/>
              </w:rPr>
              <w:t>Met</w:t>
            </w:r>
          </w:p>
        </w:tc>
        <w:tc>
          <w:tcPr>
            <w:tcW w:w="1974" w:type="dxa"/>
          </w:tcPr>
          <w:p w:rsidR="00D36C12" w:rsidRDefault="00D36C12" w:rsidP="00281674">
            <w:pPr>
              <w:pStyle w:val="ListParagraph"/>
              <w:ind w:left="0"/>
              <w:rPr>
                <w:iCs/>
              </w:rPr>
            </w:pPr>
            <w:r>
              <w:rPr>
                <w:iCs/>
                <w:sz w:val="20"/>
              </w:rPr>
              <w:t>92%</w:t>
            </w:r>
          </w:p>
        </w:tc>
      </w:tr>
      <w:tr w:rsidR="00D36C12" w:rsidTr="00281674">
        <w:tc>
          <w:tcPr>
            <w:tcW w:w="1741" w:type="dxa"/>
          </w:tcPr>
          <w:p w:rsidR="00D36C12" w:rsidRDefault="00D36C12" w:rsidP="00281674">
            <w:pPr>
              <w:pStyle w:val="ListParagraph"/>
              <w:ind w:left="0"/>
              <w:rPr>
                <w:iCs/>
              </w:rPr>
            </w:pPr>
            <w:r>
              <w:rPr>
                <w:iCs/>
              </w:rPr>
              <w:t>2018-2019</w:t>
            </w:r>
          </w:p>
        </w:tc>
        <w:tc>
          <w:tcPr>
            <w:tcW w:w="2160" w:type="dxa"/>
          </w:tcPr>
          <w:p w:rsidR="00D36C12" w:rsidRDefault="00D36C12" w:rsidP="00281674">
            <w:pPr>
              <w:pStyle w:val="ListParagraph"/>
              <w:ind w:left="0"/>
              <w:rPr>
                <w:iCs/>
              </w:rPr>
            </w:pPr>
          </w:p>
        </w:tc>
        <w:tc>
          <w:tcPr>
            <w:tcW w:w="1974" w:type="dxa"/>
          </w:tcPr>
          <w:p w:rsidR="00D36C12" w:rsidRDefault="00D36C12" w:rsidP="00281674">
            <w:pPr>
              <w:pStyle w:val="ListParagraph"/>
              <w:ind w:left="0"/>
              <w:rPr>
                <w:iCs/>
              </w:rPr>
            </w:pPr>
          </w:p>
        </w:tc>
      </w:tr>
    </w:tbl>
    <w:p w:rsidR="00D36C12" w:rsidRDefault="00D36C12" w:rsidP="00D36C12">
      <w:pPr>
        <w:rPr>
          <w:szCs w:val="28"/>
        </w:rPr>
      </w:pPr>
    </w:p>
    <w:p w:rsidR="00D36C12" w:rsidRPr="009968D1" w:rsidRDefault="00D36C12" w:rsidP="00D36C12">
      <w:pPr>
        <w:pStyle w:val="ListParagraph"/>
        <w:numPr>
          <w:ilvl w:val="0"/>
          <w:numId w:val="1"/>
        </w:numPr>
        <w:rPr>
          <w:sz w:val="32"/>
          <w:szCs w:val="28"/>
        </w:rPr>
      </w:pPr>
      <w:r w:rsidRPr="009968D1">
        <w:t xml:space="preserve">For each contract year, UMA will </w:t>
      </w:r>
      <w:bookmarkStart w:id="1" w:name="_Hlk498050354"/>
      <w:r w:rsidRPr="009968D1">
        <w:t xml:space="preserve">continue to provide college level coursework for credit through the University of Minnesota’s College in the Schools, </w:t>
      </w:r>
      <w:proofErr w:type="spellStart"/>
      <w:r w:rsidRPr="009968D1">
        <w:t>Normandale</w:t>
      </w:r>
      <w:proofErr w:type="spellEnd"/>
      <w:r w:rsidRPr="009968D1">
        <w:t xml:space="preserve"> Community College courses, College Possible and/or similar programs to provide in depth college readiness.</w:t>
      </w:r>
      <w:r w:rsidRPr="009968D1">
        <w:rPr>
          <w:sz w:val="32"/>
          <w:szCs w:val="28"/>
        </w:rPr>
        <w:t xml:space="preserve"> </w:t>
      </w:r>
      <w:bookmarkEnd w:id="1"/>
    </w:p>
    <w:p w:rsidR="00D36C12" w:rsidRDefault="00D36C12" w:rsidP="00D36C12">
      <w:pPr>
        <w:spacing w:after="0" w:line="240" w:lineRule="auto"/>
        <w:ind w:left="2160"/>
        <w:rPr>
          <w:szCs w:val="28"/>
        </w:rPr>
      </w:pPr>
    </w:p>
    <w:tbl>
      <w:tblPr>
        <w:tblStyle w:val="TableGrid"/>
        <w:tblW w:w="0" w:type="auto"/>
        <w:jc w:val="center"/>
        <w:tblLook w:val="04A0" w:firstRow="1" w:lastRow="0" w:firstColumn="1" w:lastColumn="0" w:noHBand="0" w:noVBand="1"/>
      </w:tblPr>
      <w:tblGrid>
        <w:gridCol w:w="1741"/>
        <w:gridCol w:w="2160"/>
      </w:tblGrid>
      <w:tr w:rsidR="00D36C12" w:rsidTr="00281674">
        <w:trPr>
          <w:jc w:val="center"/>
        </w:trPr>
        <w:tc>
          <w:tcPr>
            <w:tcW w:w="1741" w:type="dxa"/>
          </w:tcPr>
          <w:p w:rsidR="00D36C12" w:rsidRDefault="00D36C12" w:rsidP="00281674">
            <w:pPr>
              <w:pStyle w:val="ListParagraph"/>
              <w:ind w:left="0"/>
              <w:rPr>
                <w:iCs/>
              </w:rPr>
            </w:pPr>
            <w:r>
              <w:rPr>
                <w:iCs/>
              </w:rPr>
              <w:t>Academic Year</w:t>
            </w:r>
          </w:p>
        </w:tc>
        <w:tc>
          <w:tcPr>
            <w:tcW w:w="2160" w:type="dxa"/>
          </w:tcPr>
          <w:p w:rsidR="00D36C12" w:rsidRDefault="00D36C12" w:rsidP="00281674">
            <w:pPr>
              <w:pStyle w:val="ListParagraph"/>
              <w:ind w:left="0"/>
              <w:rPr>
                <w:iCs/>
              </w:rPr>
            </w:pPr>
            <w:r>
              <w:rPr>
                <w:iCs/>
              </w:rPr>
              <w:t>Status</w:t>
            </w:r>
          </w:p>
        </w:tc>
      </w:tr>
      <w:tr w:rsidR="00D36C12" w:rsidTr="00281674">
        <w:trPr>
          <w:jc w:val="center"/>
        </w:trPr>
        <w:tc>
          <w:tcPr>
            <w:tcW w:w="1741" w:type="dxa"/>
          </w:tcPr>
          <w:p w:rsidR="00D36C12" w:rsidRDefault="00D36C12" w:rsidP="00281674">
            <w:pPr>
              <w:pStyle w:val="ListParagraph"/>
              <w:ind w:left="0"/>
              <w:rPr>
                <w:iCs/>
              </w:rPr>
            </w:pPr>
            <w:r>
              <w:rPr>
                <w:iCs/>
              </w:rPr>
              <w:t>2014-2015</w:t>
            </w:r>
          </w:p>
        </w:tc>
        <w:tc>
          <w:tcPr>
            <w:tcW w:w="2160" w:type="dxa"/>
          </w:tcPr>
          <w:p w:rsidR="00D36C12" w:rsidRDefault="00D36C12" w:rsidP="00281674">
            <w:pPr>
              <w:pStyle w:val="ListParagraph"/>
              <w:ind w:left="0"/>
              <w:rPr>
                <w:iCs/>
              </w:rPr>
            </w:pPr>
            <w:r>
              <w:rPr>
                <w:iCs/>
              </w:rPr>
              <w:t>Met</w:t>
            </w:r>
          </w:p>
        </w:tc>
      </w:tr>
      <w:tr w:rsidR="00D36C12" w:rsidTr="00281674">
        <w:trPr>
          <w:jc w:val="center"/>
        </w:trPr>
        <w:tc>
          <w:tcPr>
            <w:tcW w:w="1741" w:type="dxa"/>
          </w:tcPr>
          <w:p w:rsidR="00D36C12" w:rsidRDefault="00D36C12" w:rsidP="00281674">
            <w:pPr>
              <w:pStyle w:val="ListParagraph"/>
              <w:ind w:left="0"/>
              <w:rPr>
                <w:iCs/>
              </w:rPr>
            </w:pPr>
            <w:r>
              <w:rPr>
                <w:iCs/>
              </w:rPr>
              <w:t>2015-2016</w:t>
            </w:r>
          </w:p>
        </w:tc>
        <w:tc>
          <w:tcPr>
            <w:tcW w:w="2160" w:type="dxa"/>
          </w:tcPr>
          <w:p w:rsidR="00D36C12" w:rsidRDefault="00D36C12" w:rsidP="00281674">
            <w:pPr>
              <w:pStyle w:val="ListParagraph"/>
              <w:ind w:left="0"/>
              <w:rPr>
                <w:iCs/>
              </w:rPr>
            </w:pPr>
            <w:r>
              <w:rPr>
                <w:iCs/>
              </w:rPr>
              <w:t>Met</w:t>
            </w:r>
          </w:p>
        </w:tc>
      </w:tr>
      <w:tr w:rsidR="00D36C12" w:rsidTr="00281674">
        <w:trPr>
          <w:jc w:val="center"/>
        </w:trPr>
        <w:tc>
          <w:tcPr>
            <w:tcW w:w="1741" w:type="dxa"/>
          </w:tcPr>
          <w:p w:rsidR="00D36C12" w:rsidRDefault="00D36C12" w:rsidP="00281674">
            <w:pPr>
              <w:pStyle w:val="ListParagraph"/>
              <w:ind w:left="0"/>
              <w:rPr>
                <w:iCs/>
              </w:rPr>
            </w:pPr>
            <w:r>
              <w:rPr>
                <w:iCs/>
              </w:rPr>
              <w:t>2016-2017</w:t>
            </w:r>
          </w:p>
        </w:tc>
        <w:tc>
          <w:tcPr>
            <w:tcW w:w="2160" w:type="dxa"/>
          </w:tcPr>
          <w:p w:rsidR="00D36C12" w:rsidRDefault="00D36C12" w:rsidP="00281674">
            <w:pPr>
              <w:pStyle w:val="ListParagraph"/>
              <w:ind w:left="0"/>
              <w:rPr>
                <w:iCs/>
              </w:rPr>
            </w:pPr>
            <w:r>
              <w:rPr>
                <w:iCs/>
              </w:rPr>
              <w:t>Met</w:t>
            </w:r>
          </w:p>
        </w:tc>
      </w:tr>
      <w:tr w:rsidR="00D36C12" w:rsidTr="00281674">
        <w:trPr>
          <w:jc w:val="center"/>
        </w:trPr>
        <w:tc>
          <w:tcPr>
            <w:tcW w:w="1741" w:type="dxa"/>
          </w:tcPr>
          <w:p w:rsidR="00D36C12" w:rsidRDefault="00D36C12" w:rsidP="00281674">
            <w:pPr>
              <w:pStyle w:val="ListParagraph"/>
              <w:ind w:left="0"/>
              <w:rPr>
                <w:iCs/>
              </w:rPr>
            </w:pPr>
            <w:r>
              <w:rPr>
                <w:iCs/>
              </w:rPr>
              <w:t>2017-2018</w:t>
            </w:r>
          </w:p>
        </w:tc>
        <w:tc>
          <w:tcPr>
            <w:tcW w:w="2160" w:type="dxa"/>
          </w:tcPr>
          <w:p w:rsidR="00D36C12" w:rsidRDefault="00D36C12" w:rsidP="00281674">
            <w:pPr>
              <w:pStyle w:val="ListParagraph"/>
              <w:ind w:left="0"/>
              <w:rPr>
                <w:iCs/>
              </w:rPr>
            </w:pPr>
          </w:p>
        </w:tc>
      </w:tr>
      <w:tr w:rsidR="00D36C12" w:rsidTr="00281674">
        <w:trPr>
          <w:jc w:val="center"/>
        </w:trPr>
        <w:tc>
          <w:tcPr>
            <w:tcW w:w="1741" w:type="dxa"/>
          </w:tcPr>
          <w:p w:rsidR="00D36C12" w:rsidRDefault="00D36C12" w:rsidP="00281674">
            <w:pPr>
              <w:pStyle w:val="ListParagraph"/>
              <w:ind w:left="0"/>
              <w:rPr>
                <w:iCs/>
              </w:rPr>
            </w:pPr>
            <w:r>
              <w:rPr>
                <w:iCs/>
              </w:rPr>
              <w:t>2018-2019</w:t>
            </w:r>
          </w:p>
        </w:tc>
        <w:tc>
          <w:tcPr>
            <w:tcW w:w="2160" w:type="dxa"/>
          </w:tcPr>
          <w:p w:rsidR="00D36C12" w:rsidRDefault="00D36C12" w:rsidP="00281674">
            <w:pPr>
              <w:pStyle w:val="ListParagraph"/>
              <w:ind w:left="0"/>
              <w:rPr>
                <w:iCs/>
              </w:rPr>
            </w:pPr>
          </w:p>
        </w:tc>
      </w:tr>
    </w:tbl>
    <w:p w:rsidR="00D36C12" w:rsidRPr="009968D1" w:rsidRDefault="00D36C12" w:rsidP="00D36C12">
      <w:pPr>
        <w:rPr>
          <w:szCs w:val="28"/>
        </w:rPr>
      </w:pPr>
    </w:p>
    <w:p w:rsidR="00D36C12" w:rsidRDefault="00D36C12" w:rsidP="00D36C12">
      <w:pPr>
        <w:spacing w:after="0"/>
        <w:ind w:left="360"/>
        <w:rPr>
          <w:rFonts w:ascii="Times New Roman" w:hAnsi="Times New Roman" w:cs="Times New Roman"/>
          <w:b/>
          <w:sz w:val="24"/>
          <w:szCs w:val="24"/>
        </w:rPr>
      </w:pPr>
      <w:r>
        <w:rPr>
          <w:rFonts w:ascii="Times New Roman" w:hAnsi="Times New Roman" w:cs="Times New Roman"/>
          <w:b/>
          <w:sz w:val="24"/>
          <w:szCs w:val="24"/>
        </w:rPr>
        <w:t>10.2 District</w:t>
      </w:r>
      <w:r w:rsidRPr="008569A8">
        <w:rPr>
          <w:rFonts w:ascii="Times New Roman" w:hAnsi="Times New Roman" w:cs="Times New Roman"/>
          <w:b/>
          <w:sz w:val="24"/>
          <w:szCs w:val="24"/>
        </w:rPr>
        <w:t xml:space="preserve"> Goals</w:t>
      </w:r>
      <w:r>
        <w:rPr>
          <w:rFonts w:ascii="Times New Roman" w:hAnsi="Times New Roman" w:cs="Times New Roman"/>
          <w:b/>
          <w:sz w:val="24"/>
          <w:szCs w:val="24"/>
        </w:rPr>
        <w:t xml:space="preserve"> &amp; 2016-2017 Results</w:t>
      </w:r>
    </w:p>
    <w:p w:rsidR="00D36C12" w:rsidRDefault="00D36C12" w:rsidP="00D36C12">
      <w:pPr>
        <w:widowControl w:val="0"/>
        <w:spacing w:after="0" w:line="240" w:lineRule="auto"/>
        <w:ind w:left="720"/>
        <w:rPr>
          <w:rFonts w:ascii="Times New Roman" w:hAnsi="Times New Roman" w:cs="Times New Roman"/>
          <w:b/>
          <w:sz w:val="24"/>
          <w:szCs w:val="24"/>
        </w:rPr>
      </w:pPr>
    </w:p>
    <w:p w:rsidR="00D36C12" w:rsidRPr="00AA0CC6" w:rsidRDefault="00D36C12" w:rsidP="00D36C12">
      <w:pPr>
        <w:widowControl w:val="0"/>
        <w:spacing w:after="0" w:line="240" w:lineRule="auto"/>
        <w:ind w:left="720"/>
        <w:rPr>
          <w:rFonts w:ascii="Times New Roman" w:hAnsi="Times New Roman" w:cs="Times New Roman"/>
          <w:b/>
          <w:sz w:val="24"/>
          <w:szCs w:val="24"/>
        </w:rPr>
      </w:pPr>
      <w:r w:rsidRPr="00AA0CC6">
        <w:rPr>
          <w:rFonts w:ascii="Times New Roman" w:hAnsi="Times New Roman" w:cs="Times New Roman"/>
          <w:b/>
          <w:sz w:val="24"/>
          <w:szCs w:val="24"/>
        </w:rPr>
        <w:t>Goal One: </w:t>
      </w:r>
      <w:r w:rsidRPr="00AA0CC6">
        <w:rPr>
          <w:rFonts w:ascii="Times New Roman" w:hAnsi="Times New Roman" w:cs="Times New Roman"/>
          <w:b/>
          <w:iCs/>
          <w:sz w:val="24"/>
          <w:szCs w:val="24"/>
        </w:rPr>
        <w:t xml:space="preserve"> INCREASE PROFICIENCY ON STATE MATH AND READING ASSESSMENTS</w:t>
      </w:r>
    </w:p>
    <w:p w:rsidR="00D36C12" w:rsidRPr="00AA0CC6" w:rsidRDefault="00D36C12" w:rsidP="00D36C12">
      <w:pPr>
        <w:widowControl w:val="0"/>
        <w:spacing w:after="0" w:line="240" w:lineRule="auto"/>
        <w:ind w:left="1440"/>
        <w:rPr>
          <w:rFonts w:ascii="Times New Roman" w:hAnsi="Times New Roman" w:cs="Times New Roman"/>
          <w:sz w:val="24"/>
          <w:szCs w:val="24"/>
        </w:rPr>
      </w:pPr>
      <w:r w:rsidRPr="00AA0CC6">
        <w:rPr>
          <w:rFonts w:ascii="Times New Roman" w:hAnsi="Times New Roman" w:cs="Times New Roman"/>
          <w:sz w:val="24"/>
          <w:szCs w:val="24"/>
        </w:rPr>
        <w:t xml:space="preserve">Part 1: Increase # of proficient students in math as measured by the MCA-III </w:t>
      </w:r>
      <w:r>
        <w:rPr>
          <w:rFonts w:ascii="Times New Roman" w:hAnsi="Times New Roman" w:cs="Times New Roman"/>
          <w:sz w:val="24"/>
          <w:szCs w:val="24"/>
        </w:rPr>
        <w:t>Assessment by 1% on the spring 2017</w:t>
      </w:r>
      <w:r w:rsidRPr="00AA0CC6">
        <w:rPr>
          <w:rFonts w:ascii="Times New Roman" w:hAnsi="Times New Roman" w:cs="Times New Roman"/>
          <w:sz w:val="24"/>
          <w:szCs w:val="24"/>
        </w:rPr>
        <w:t xml:space="preserve"> test.</w:t>
      </w:r>
    </w:p>
    <w:p w:rsidR="00D36C12" w:rsidRPr="00183930" w:rsidRDefault="00D36C12" w:rsidP="00D36C12">
      <w:pPr>
        <w:widowControl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GOAL MET</w:t>
      </w:r>
    </w:p>
    <w:p w:rsidR="00D36C12" w:rsidRDefault="00D36C12" w:rsidP="00D36C12">
      <w:pPr>
        <w:widowControl w:val="0"/>
        <w:spacing w:after="0" w:line="240" w:lineRule="auto"/>
        <w:ind w:left="1440"/>
        <w:rPr>
          <w:rFonts w:ascii="Times New Roman" w:hAnsi="Times New Roman" w:cs="Times New Roman"/>
          <w:sz w:val="24"/>
          <w:szCs w:val="24"/>
        </w:rPr>
      </w:pPr>
    </w:p>
    <w:p w:rsidR="00D36C12" w:rsidRDefault="00D36C12" w:rsidP="00D36C12">
      <w:pPr>
        <w:widowControl w:val="0"/>
        <w:spacing w:after="0" w:line="240" w:lineRule="auto"/>
        <w:ind w:left="1440"/>
        <w:rPr>
          <w:rFonts w:ascii="Times New Roman" w:hAnsi="Times New Roman" w:cs="Times New Roman"/>
          <w:sz w:val="24"/>
          <w:szCs w:val="24"/>
        </w:rPr>
      </w:pPr>
      <w:r w:rsidRPr="00AA0CC6">
        <w:rPr>
          <w:rFonts w:ascii="Times New Roman" w:hAnsi="Times New Roman" w:cs="Times New Roman"/>
          <w:sz w:val="24"/>
          <w:szCs w:val="24"/>
        </w:rPr>
        <w:t>Part 2: Increase # of proficient students in reading as measured by the MCA-III Ass</w:t>
      </w:r>
      <w:r>
        <w:rPr>
          <w:rFonts w:ascii="Times New Roman" w:hAnsi="Times New Roman" w:cs="Times New Roman"/>
          <w:sz w:val="24"/>
          <w:szCs w:val="24"/>
        </w:rPr>
        <w:t>essment by 1% on the spring 2017</w:t>
      </w:r>
      <w:r w:rsidRPr="00AA0CC6">
        <w:rPr>
          <w:rFonts w:ascii="Times New Roman" w:hAnsi="Times New Roman" w:cs="Times New Roman"/>
          <w:sz w:val="24"/>
          <w:szCs w:val="24"/>
        </w:rPr>
        <w:t xml:space="preserve"> test.</w:t>
      </w:r>
    </w:p>
    <w:p w:rsidR="00D36C12" w:rsidRPr="00183930" w:rsidRDefault="00D36C12" w:rsidP="00D36C12">
      <w:pPr>
        <w:widowControl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GOAL MET</w:t>
      </w:r>
    </w:p>
    <w:p w:rsidR="00D36C12" w:rsidRPr="00AA0CC6" w:rsidRDefault="00D36C12" w:rsidP="00D36C12">
      <w:pPr>
        <w:widowControl w:val="0"/>
        <w:spacing w:after="0" w:line="240" w:lineRule="auto"/>
        <w:rPr>
          <w:rFonts w:ascii="Times New Roman" w:hAnsi="Times New Roman" w:cs="Times New Roman"/>
          <w:sz w:val="24"/>
          <w:szCs w:val="24"/>
        </w:rPr>
      </w:pPr>
    </w:p>
    <w:p w:rsidR="00D36C12" w:rsidRPr="00AA0CC6" w:rsidRDefault="00D36C12" w:rsidP="00D36C12">
      <w:pPr>
        <w:widowControl w:val="0"/>
        <w:spacing w:after="0" w:line="240" w:lineRule="auto"/>
        <w:ind w:left="720"/>
        <w:rPr>
          <w:rFonts w:ascii="Times New Roman" w:hAnsi="Times New Roman" w:cs="Times New Roman"/>
          <w:sz w:val="24"/>
          <w:szCs w:val="24"/>
        </w:rPr>
      </w:pPr>
      <w:r w:rsidRPr="00AA0CC6">
        <w:rPr>
          <w:rFonts w:ascii="Times New Roman" w:hAnsi="Times New Roman" w:cs="Times New Roman"/>
          <w:b/>
          <w:sz w:val="24"/>
          <w:szCs w:val="24"/>
        </w:rPr>
        <w:t>Goal Three:</w:t>
      </w:r>
      <w:r w:rsidRPr="00AA0CC6">
        <w:rPr>
          <w:rFonts w:ascii="Times New Roman" w:hAnsi="Times New Roman" w:cs="Times New Roman"/>
          <w:sz w:val="24"/>
          <w:szCs w:val="24"/>
        </w:rPr>
        <w:t> </w:t>
      </w:r>
      <w:r w:rsidRPr="00AA0CC6">
        <w:rPr>
          <w:rFonts w:ascii="Times New Roman" w:hAnsi="Times New Roman" w:cs="Times New Roman"/>
          <w:b/>
          <w:sz w:val="24"/>
          <w:szCs w:val="24"/>
        </w:rPr>
        <w:t>INCREASE STUDENTS MEETING EXPECTED GROWTH TARGETS ON LOCAL ASSESSMENT</w:t>
      </w:r>
      <w:r w:rsidRPr="00AA0CC6">
        <w:rPr>
          <w:rFonts w:ascii="Times New Roman" w:hAnsi="Times New Roman" w:cs="Times New Roman"/>
          <w:b/>
          <w:iCs/>
          <w:sz w:val="24"/>
          <w:szCs w:val="24"/>
        </w:rPr>
        <w:t xml:space="preserve">  </w:t>
      </w:r>
    </w:p>
    <w:p w:rsidR="00D36C12" w:rsidRPr="00EF1EFF" w:rsidRDefault="00D36C12" w:rsidP="00D36C12">
      <w:pPr>
        <w:widowControl w:val="0"/>
        <w:spacing w:after="0" w:line="240" w:lineRule="auto"/>
        <w:ind w:left="1440"/>
        <w:rPr>
          <w:rFonts w:ascii="Times New Roman" w:hAnsi="Times New Roman" w:cs="Times New Roman"/>
          <w:iCs/>
          <w:sz w:val="20"/>
          <w:szCs w:val="24"/>
        </w:rPr>
      </w:pPr>
      <w:r w:rsidRPr="00EF1EFF">
        <w:rPr>
          <w:rFonts w:ascii="Times New Roman" w:hAnsi="Times New Roman" w:cs="Times New Roman"/>
          <w:sz w:val="24"/>
          <w:szCs w:val="24"/>
        </w:rPr>
        <w:t>Part 1: Increase the #of students meeting or exceeding growth targets</w:t>
      </w:r>
      <w:r>
        <w:rPr>
          <w:rFonts w:ascii="Times New Roman" w:hAnsi="Times New Roman" w:cs="Times New Roman"/>
          <w:sz w:val="24"/>
          <w:szCs w:val="24"/>
        </w:rPr>
        <w:t xml:space="preserve"> in math as measured by the </w:t>
      </w:r>
      <w:r w:rsidRPr="00EF1EFF">
        <w:rPr>
          <w:rFonts w:ascii="Times New Roman" w:hAnsi="Times New Roman" w:cs="Times New Roman"/>
          <w:sz w:val="24"/>
          <w:szCs w:val="24"/>
        </w:rPr>
        <w:t xml:space="preserve">NWEA MAP assessments by 1% </w:t>
      </w:r>
      <w:r w:rsidRPr="00EF1EFF">
        <w:rPr>
          <w:rFonts w:ascii="Times New Roman" w:hAnsi="Times New Roman" w:cs="Times New Roman"/>
          <w:sz w:val="20"/>
          <w:szCs w:val="24"/>
        </w:rPr>
        <w:t xml:space="preserve">(with long range target of 70% of students meeting their growth targets by the end of the contract term on June 30, 2020). </w:t>
      </w:r>
    </w:p>
    <w:p w:rsidR="00D36C12" w:rsidRDefault="00D36C12" w:rsidP="00D36C12">
      <w:pPr>
        <w:widowControl w:val="0"/>
        <w:spacing w:after="0" w:line="240" w:lineRule="auto"/>
        <w:rPr>
          <w:rFonts w:ascii="Times New Roman" w:hAnsi="Times New Roman" w:cs="Times New Roman"/>
          <w:iCs/>
          <w:sz w:val="24"/>
          <w:szCs w:val="24"/>
        </w:rPr>
      </w:pPr>
    </w:p>
    <w:p w:rsidR="00D36C12" w:rsidRDefault="00D36C12" w:rsidP="00D36C12">
      <w:pPr>
        <w:widowControl w:val="0"/>
        <w:spacing w:after="0" w:line="240" w:lineRule="auto"/>
        <w:rPr>
          <w:rFonts w:ascii="Times New Roman" w:hAnsi="Times New Roman" w:cs="Times New Roman"/>
          <w:iCs/>
          <w:sz w:val="24"/>
          <w:szCs w:val="24"/>
        </w:rPr>
      </w:pPr>
    </w:p>
    <w:p w:rsidR="00D36C12" w:rsidRPr="00EF1EFF" w:rsidRDefault="00D36C12" w:rsidP="00D36C12">
      <w:pPr>
        <w:widowControl w:val="0"/>
        <w:spacing w:after="0" w:line="240" w:lineRule="auto"/>
        <w:ind w:left="1440"/>
        <w:rPr>
          <w:rFonts w:ascii="Times New Roman" w:hAnsi="Times New Roman" w:cs="Times New Roman"/>
          <w:iCs/>
          <w:sz w:val="20"/>
          <w:szCs w:val="24"/>
        </w:rPr>
      </w:pPr>
      <w:r w:rsidRPr="00AA0CC6">
        <w:rPr>
          <w:rFonts w:ascii="Times New Roman" w:hAnsi="Times New Roman" w:cs="Times New Roman"/>
          <w:iCs/>
          <w:sz w:val="24"/>
          <w:szCs w:val="24"/>
        </w:rPr>
        <w:t xml:space="preserve">Part 2: </w:t>
      </w:r>
      <w:r w:rsidRPr="00EF1EFF">
        <w:rPr>
          <w:rFonts w:ascii="Times New Roman" w:hAnsi="Times New Roman" w:cs="Times New Roman"/>
          <w:sz w:val="24"/>
          <w:szCs w:val="24"/>
        </w:rPr>
        <w:t>Increase the #of students meeting or exceeding growth targets</w:t>
      </w:r>
      <w:r>
        <w:rPr>
          <w:rFonts w:ascii="Times New Roman" w:hAnsi="Times New Roman" w:cs="Times New Roman"/>
          <w:sz w:val="24"/>
          <w:szCs w:val="24"/>
        </w:rPr>
        <w:t xml:space="preserve"> in reading as measured by the </w:t>
      </w:r>
      <w:r w:rsidRPr="00EF1EFF">
        <w:rPr>
          <w:rFonts w:ascii="Times New Roman" w:hAnsi="Times New Roman" w:cs="Times New Roman"/>
          <w:sz w:val="24"/>
          <w:szCs w:val="24"/>
        </w:rPr>
        <w:t xml:space="preserve">NWEA MAP assessments by 1% </w:t>
      </w:r>
      <w:r w:rsidRPr="00EF1EFF">
        <w:rPr>
          <w:rFonts w:ascii="Times New Roman" w:hAnsi="Times New Roman" w:cs="Times New Roman"/>
          <w:sz w:val="20"/>
          <w:szCs w:val="24"/>
        </w:rPr>
        <w:t xml:space="preserve">(with long range target of 70% of students meeting their growth targets by the end of the contract term on June 30, 2020). </w:t>
      </w:r>
    </w:p>
    <w:p w:rsidR="00D36C12" w:rsidRDefault="00D36C12" w:rsidP="00D36C12">
      <w:pPr>
        <w:widowControl w:val="0"/>
        <w:spacing w:after="0" w:line="240" w:lineRule="auto"/>
        <w:rPr>
          <w:rFonts w:ascii="Times New Roman" w:hAnsi="Times New Roman" w:cs="Times New Roman"/>
          <w:i/>
          <w:iCs/>
          <w:sz w:val="24"/>
          <w:szCs w:val="24"/>
        </w:rPr>
      </w:pPr>
    </w:p>
    <w:p w:rsidR="00D36C12" w:rsidRPr="00AA0CC6" w:rsidRDefault="00D36C12" w:rsidP="00D36C12">
      <w:pPr>
        <w:widowControl w:val="0"/>
        <w:spacing w:after="0" w:line="240" w:lineRule="auto"/>
        <w:rPr>
          <w:rFonts w:ascii="Times New Roman" w:hAnsi="Times New Roman" w:cs="Times New Roman"/>
          <w:iCs/>
          <w:sz w:val="24"/>
          <w:szCs w:val="24"/>
        </w:rPr>
      </w:pPr>
    </w:p>
    <w:p w:rsidR="00D36C12" w:rsidRDefault="00D36C12" w:rsidP="00D36C12">
      <w:pPr>
        <w:widowControl w:val="0"/>
        <w:spacing w:after="0" w:line="240" w:lineRule="auto"/>
        <w:ind w:left="720"/>
        <w:rPr>
          <w:rFonts w:ascii="Times New Roman" w:hAnsi="Times New Roman" w:cs="Times New Roman"/>
          <w:b/>
          <w:iCs/>
          <w:sz w:val="24"/>
          <w:szCs w:val="24"/>
        </w:rPr>
      </w:pPr>
    </w:p>
    <w:p w:rsidR="00D36C12" w:rsidRDefault="00D36C12" w:rsidP="00D36C12">
      <w:pPr>
        <w:widowControl w:val="0"/>
        <w:spacing w:after="0" w:line="240" w:lineRule="auto"/>
        <w:ind w:left="720"/>
        <w:rPr>
          <w:rFonts w:ascii="Times New Roman" w:hAnsi="Times New Roman" w:cs="Times New Roman"/>
          <w:b/>
          <w:iCs/>
          <w:sz w:val="24"/>
          <w:szCs w:val="24"/>
        </w:rPr>
      </w:pPr>
    </w:p>
    <w:p w:rsidR="00D36C12" w:rsidRDefault="00D36C12" w:rsidP="00D36C12">
      <w:pPr>
        <w:widowControl w:val="0"/>
        <w:spacing w:after="0" w:line="240" w:lineRule="auto"/>
        <w:ind w:left="720"/>
        <w:rPr>
          <w:rFonts w:ascii="Times New Roman" w:hAnsi="Times New Roman" w:cs="Times New Roman"/>
          <w:b/>
          <w:iCs/>
          <w:sz w:val="24"/>
          <w:szCs w:val="24"/>
        </w:rPr>
      </w:pPr>
    </w:p>
    <w:p w:rsidR="00D36C12" w:rsidRPr="00AA0CC6" w:rsidRDefault="00D36C12" w:rsidP="00D36C12">
      <w:pPr>
        <w:widowControl w:val="0"/>
        <w:spacing w:after="0" w:line="240" w:lineRule="auto"/>
        <w:ind w:left="720"/>
        <w:rPr>
          <w:rFonts w:ascii="Times New Roman" w:hAnsi="Times New Roman" w:cs="Times New Roman"/>
          <w:b/>
          <w:iCs/>
          <w:sz w:val="24"/>
          <w:szCs w:val="24"/>
        </w:rPr>
      </w:pPr>
      <w:r>
        <w:rPr>
          <w:rFonts w:ascii="Times New Roman" w:hAnsi="Times New Roman" w:cs="Times New Roman"/>
          <w:b/>
          <w:iCs/>
          <w:sz w:val="24"/>
          <w:szCs w:val="24"/>
        </w:rPr>
        <w:t>Goal Four</w:t>
      </w:r>
      <w:r w:rsidRPr="00AA0CC6">
        <w:rPr>
          <w:rFonts w:ascii="Times New Roman" w:hAnsi="Times New Roman" w:cs="Times New Roman"/>
          <w:b/>
          <w:iCs/>
          <w:sz w:val="24"/>
          <w:szCs w:val="24"/>
        </w:rPr>
        <w:t xml:space="preserve">: SPECIAL EDUCATION STUDENTS </w:t>
      </w:r>
    </w:p>
    <w:p w:rsidR="00D36C12" w:rsidRPr="00E06071" w:rsidRDefault="00D36C12" w:rsidP="00D36C12">
      <w:pPr>
        <w:widowControl w:val="0"/>
        <w:spacing w:after="0" w:line="240" w:lineRule="auto"/>
        <w:ind w:left="1440"/>
        <w:rPr>
          <w:rFonts w:ascii="Times New Roman" w:hAnsi="Times New Roman" w:cs="Times New Roman"/>
          <w:iCs/>
          <w:sz w:val="24"/>
          <w:szCs w:val="24"/>
        </w:rPr>
      </w:pPr>
      <w:r w:rsidRPr="00E06071">
        <w:rPr>
          <w:rFonts w:ascii="Times New Roman" w:hAnsi="Times New Roman" w:cs="Times New Roman"/>
          <w:sz w:val="24"/>
          <w:szCs w:val="20"/>
        </w:rPr>
        <w:t xml:space="preserve">Special Education Students taking the NWEA Measures of Academic Progress </w:t>
      </w:r>
      <w:r w:rsidRPr="00E06071">
        <w:rPr>
          <w:rFonts w:ascii="Times New Roman" w:hAnsi="Times New Roman" w:cs="Times New Roman"/>
          <w:sz w:val="24"/>
          <w:szCs w:val="20"/>
        </w:rPr>
        <w:lastRenderedPageBreak/>
        <w:t>will meet or exceed their expected growth targets as determined by their IEP team and indicated in their IEP academic goals.</w:t>
      </w:r>
      <w:r w:rsidRPr="00E06071">
        <w:rPr>
          <w:rFonts w:ascii="Times New Roman" w:hAnsi="Times New Roman" w:cs="Times New Roman"/>
          <w:iCs/>
          <w:sz w:val="24"/>
          <w:szCs w:val="24"/>
        </w:rPr>
        <w:br/>
      </w:r>
    </w:p>
    <w:p w:rsidR="00D36C12" w:rsidRDefault="00D36C12" w:rsidP="00D36C12">
      <w:pPr>
        <w:widowControl w:val="0"/>
        <w:spacing w:after="0" w:line="240" w:lineRule="auto"/>
        <w:rPr>
          <w:rFonts w:ascii="Times New Roman" w:hAnsi="Times New Roman" w:cs="Times New Roman"/>
          <w:sz w:val="24"/>
          <w:szCs w:val="24"/>
        </w:rPr>
      </w:pPr>
      <w:r w:rsidRPr="00AA0CC6">
        <w:rPr>
          <w:rFonts w:ascii="Times New Roman" w:hAnsi="Times New Roman" w:cs="Times New Roman"/>
          <w:sz w:val="24"/>
          <w:szCs w:val="24"/>
        </w:rPr>
        <w:t> </w:t>
      </w:r>
      <w:r>
        <w:rPr>
          <w:rFonts w:ascii="Times New Roman" w:hAnsi="Times New Roman" w:cs="Times New Roman"/>
          <w:sz w:val="24"/>
          <w:szCs w:val="24"/>
        </w:rPr>
        <w:tab/>
      </w:r>
    </w:p>
    <w:p w:rsidR="00D36C12" w:rsidRPr="00AA0CC6" w:rsidRDefault="00D36C12" w:rsidP="00D36C12">
      <w:pPr>
        <w:widowControl w:val="0"/>
        <w:spacing w:after="0" w:line="240" w:lineRule="auto"/>
        <w:ind w:firstLine="720"/>
        <w:rPr>
          <w:rFonts w:ascii="Times New Roman" w:hAnsi="Times New Roman" w:cs="Times New Roman"/>
          <w:b/>
          <w:bCs/>
          <w:iCs/>
          <w:sz w:val="24"/>
          <w:szCs w:val="24"/>
          <w:u w:val="single"/>
        </w:rPr>
      </w:pPr>
      <w:r w:rsidRPr="00AA0CC6">
        <w:rPr>
          <w:rFonts w:ascii="Times New Roman" w:hAnsi="Times New Roman" w:cs="Times New Roman"/>
          <w:b/>
          <w:bCs/>
          <w:iCs/>
          <w:sz w:val="24"/>
          <w:szCs w:val="24"/>
          <w:u w:val="single"/>
        </w:rPr>
        <w:t>Additional Goals:</w:t>
      </w:r>
    </w:p>
    <w:p w:rsidR="00D36C12" w:rsidRPr="00AA0CC6" w:rsidRDefault="00D36C12" w:rsidP="00D36C12">
      <w:pPr>
        <w:widowControl w:val="0"/>
        <w:spacing w:after="0" w:line="240" w:lineRule="auto"/>
        <w:ind w:left="720"/>
        <w:rPr>
          <w:rFonts w:ascii="Times New Roman" w:hAnsi="Times New Roman" w:cs="Times New Roman"/>
          <w:iCs/>
          <w:sz w:val="24"/>
          <w:szCs w:val="24"/>
        </w:rPr>
      </w:pPr>
      <w:r w:rsidRPr="00AA0CC6">
        <w:rPr>
          <w:rFonts w:ascii="Times New Roman" w:hAnsi="Times New Roman" w:cs="Times New Roman"/>
          <w:b/>
          <w:iCs/>
          <w:sz w:val="24"/>
          <w:szCs w:val="24"/>
        </w:rPr>
        <w:t>Goal One:</w:t>
      </w:r>
      <w:r w:rsidRPr="00AA0CC6">
        <w:rPr>
          <w:rFonts w:ascii="Times New Roman" w:hAnsi="Times New Roman" w:cs="Times New Roman"/>
          <w:iCs/>
          <w:sz w:val="24"/>
          <w:szCs w:val="24"/>
        </w:rPr>
        <w:t xml:space="preserve"> </w:t>
      </w:r>
    </w:p>
    <w:p w:rsidR="00D36C12" w:rsidRDefault="00D36C12" w:rsidP="00D36C12">
      <w:pPr>
        <w:widowControl w:val="0"/>
        <w:spacing w:after="0" w:line="240" w:lineRule="auto"/>
        <w:ind w:left="1440"/>
        <w:rPr>
          <w:rFonts w:ascii="Times New Roman" w:hAnsi="Times New Roman" w:cs="Times New Roman"/>
          <w:iCs/>
          <w:sz w:val="24"/>
          <w:szCs w:val="24"/>
        </w:rPr>
      </w:pPr>
      <w:r w:rsidRPr="00AA0CC6">
        <w:rPr>
          <w:rFonts w:ascii="Times New Roman" w:hAnsi="Times New Roman" w:cs="Times New Roman"/>
          <w:iCs/>
          <w:sz w:val="24"/>
          <w:szCs w:val="24"/>
        </w:rPr>
        <w:t>100% of teaching staff will receive weekly professional development in areas such as LEP/EL techniques, working with special education students, technology, utilizing student goal setting and academic data to inform instruction, programming in collaboration with our Response to Intervention plan and the delivery of instructional strategies.</w:t>
      </w:r>
    </w:p>
    <w:p w:rsidR="00D36C12" w:rsidRPr="00183930" w:rsidRDefault="00D36C12" w:rsidP="00D36C12">
      <w:pPr>
        <w:widowControl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GOAL MET</w:t>
      </w:r>
    </w:p>
    <w:p w:rsidR="00D36C12" w:rsidRPr="00AA0CC6" w:rsidRDefault="00D36C12" w:rsidP="00D36C12">
      <w:pPr>
        <w:widowControl w:val="0"/>
        <w:spacing w:after="0" w:line="240" w:lineRule="auto"/>
        <w:ind w:left="1440"/>
        <w:rPr>
          <w:rFonts w:ascii="Times New Roman" w:hAnsi="Times New Roman" w:cs="Times New Roman"/>
          <w:sz w:val="24"/>
          <w:szCs w:val="24"/>
        </w:rPr>
      </w:pPr>
    </w:p>
    <w:p w:rsidR="00D36C12" w:rsidRPr="00AA0CC6" w:rsidRDefault="00D36C12" w:rsidP="00D36C12">
      <w:pPr>
        <w:widowControl w:val="0"/>
        <w:spacing w:after="0" w:line="240" w:lineRule="auto"/>
        <w:ind w:left="720"/>
        <w:rPr>
          <w:rFonts w:ascii="Times New Roman" w:hAnsi="Times New Roman" w:cs="Times New Roman"/>
          <w:sz w:val="24"/>
          <w:szCs w:val="24"/>
        </w:rPr>
      </w:pPr>
      <w:r w:rsidRPr="00AA0CC6">
        <w:rPr>
          <w:rFonts w:ascii="Times New Roman" w:hAnsi="Times New Roman" w:cs="Times New Roman"/>
          <w:b/>
          <w:sz w:val="24"/>
          <w:szCs w:val="24"/>
        </w:rPr>
        <w:t>Goal Two:</w:t>
      </w:r>
      <w:r w:rsidRPr="00AA0CC6">
        <w:rPr>
          <w:rFonts w:ascii="Times New Roman" w:hAnsi="Times New Roman" w:cs="Times New Roman"/>
          <w:sz w:val="24"/>
          <w:szCs w:val="24"/>
        </w:rPr>
        <w:t> </w:t>
      </w:r>
      <w:r w:rsidRPr="00AA0CC6">
        <w:rPr>
          <w:rFonts w:ascii="Times New Roman" w:hAnsi="Times New Roman" w:cs="Times New Roman"/>
          <w:iCs/>
          <w:sz w:val="24"/>
          <w:szCs w:val="24"/>
        </w:rPr>
        <w:t xml:space="preserve"> </w:t>
      </w:r>
    </w:p>
    <w:p w:rsidR="00D36C12" w:rsidRDefault="00D36C12" w:rsidP="00D36C12">
      <w:pPr>
        <w:widowControl w:val="0"/>
        <w:spacing w:after="0" w:line="240" w:lineRule="auto"/>
        <w:ind w:left="1440"/>
        <w:rPr>
          <w:rFonts w:ascii="Times New Roman" w:hAnsi="Times New Roman" w:cs="Times New Roman"/>
          <w:iCs/>
          <w:sz w:val="24"/>
          <w:szCs w:val="24"/>
        </w:rPr>
      </w:pPr>
      <w:r>
        <w:rPr>
          <w:rFonts w:ascii="Times New Roman" w:hAnsi="Times New Roman" w:cs="Times New Roman"/>
          <w:iCs/>
          <w:sz w:val="24"/>
          <w:szCs w:val="24"/>
        </w:rPr>
        <w:t>UMA will involve an average of 7</w:t>
      </w:r>
      <w:r w:rsidRPr="00AA0CC6">
        <w:rPr>
          <w:rFonts w:ascii="Times New Roman" w:hAnsi="Times New Roman" w:cs="Times New Roman"/>
          <w:iCs/>
          <w:sz w:val="24"/>
          <w:szCs w:val="24"/>
        </w:rPr>
        <w:t xml:space="preserve">5% of families in academic planning and goal setting through the use of </w:t>
      </w:r>
      <w:r>
        <w:rPr>
          <w:rFonts w:ascii="Times New Roman" w:hAnsi="Times New Roman" w:cs="Times New Roman"/>
          <w:iCs/>
          <w:sz w:val="24"/>
          <w:szCs w:val="24"/>
        </w:rPr>
        <w:t xml:space="preserve">parent meetings and conferences </w:t>
      </w:r>
      <w:r w:rsidRPr="00AA0CC6">
        <w:rPr>
          <w:rFonts w:ascii="Times New Roman" w:hAnsi="Times New Roman" w:cs="Times New Roman"/>
          <w:iCs/>
          <w:sz w:val="24"/>
          <w:szCs w:val="24"/>
        </w:rPr>
        <w:t xml:space="preserve">specifically reaching out to families of students not showing sufficient progress in their academic learning. </w:t>
      </w:r>
    </w:p>
    <w:p w:rsidR="00D36C12" w:rsidRPr="00183930" w:rsidRDefault="00D36C12" w:rsidP="00D36C12">
      <w:pPr>
        <w:widowControl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GOAL MET</w:t>
      </w:r>
    </w:p>
    <w:p w:rsidR="00D36C12" w:rsidRDefault="00D36C12" w:rsidP="00D36C12">
      <w:pPr>
        <w:widowControl w:val="0"/>
        <w:spacing w:after="0" w:line="240" w:lineRule="auto"/>
        <w:rPr>
          <w:rFonts w:ascii="Times New Roman" w:hAnsi="Times New Roman" w:cs="Times New Roman"/>
          <w:b/>
          <w:sz w:val="24"/>
          <w:szCs w:val="24"/>
        </w:rPr>
      </w:pPr>
    </w:p>
    <w:p w:rsidR="00D36C12" w:rsidRPr="00AA0CC6" w:rsidRDefault="00D36C12" w:rsidP="00D36C12">
      <w:pPr>
        <w:widowControl w:val="0"/>
        <w:spacing w:after="0" w:line="240" w:lineRule="auto"/>
        <w:ind w:left="720"/>
        <w:rPr>
          <w:rFonts w:ascii="Times New Roman" w:hAnsi="Times New Roman" w:cs="Times New Roman"/>
          <w:sz w:val="24"/>
          <w:szCs w:val="24"/>
        </w:rPr>
      </w:pPr>
      <w:r w:rsidRPr="00AA0CC6">
        <w:rPr>
          <w:rFonts w:ascii="Times New Roman" w:hAnsi="Times New Roman" w:cs="Times New Roman"/>
          <w:b/>
          <w:sz w:val="24"/>
          <w:szCs w:val="24"/>
        </w:rPr>
        <w:t>Goal Three:</w:t>
      </w:r>
      <w:r w:rsidRPr="00AA0CC6">
        <w:rPr>
          <w:rFonts w:ascii="Times New Roman" w:hAnsi="Times New Roman" w:cs="Times New Roman"/>
          <w:sz w:val="24"/>
          <w:szCs w:val="24"/>
        </w:rPr>
        <w:t> </w:t>
      </w:r>
      <w:r w:rsidRPr="00AA0CC6">
        <w:rPr>
          <w:rFonts w:ascii="Times New Roman" w:hAnsi="Times New Roman" w:cs="Times New Roman"/>
          <w:iCs/>
          <w:sz w:val="24"/>
          <w:szCs w:val="24"/>
        </w:rPr>
        <w:t xml:space="preserve">  </w:t>
      </w:r>
    </w:p>
    <w:p w:rsidR="00D36C12" w:rsidRPr="00AA0CC6" w:rsidRDefault="00D36C12" w:rsidP="00D36C12">
      <w:pPr>
        <w:widowControl w:val="0"/>
        <w:spacing w:after="0" w:line="240" w:lineRule="auto"/>
        <w:ind w:left="1440"/>
        <w:rPr>
          <w:rFonts w:ascii="Times New Roman" w:hAnsi="Times New Roman" w:cs="Times New Roman"/>
          <w:iCs/>
          <w:sz w:val="24"/>
          <w:szCs w:val="24"/>
        </w:rPr>
      </w:pPr>
      <w:r>
        <w:rPr>
          <w:rFonts w:ascii="Times New Roman" w:hAnsi="Times New Roman" w:cs="Times New Roman"/>
          <w:sz w:val="24"/>
          <w:szCs w:val="24"/>
        </w:rPr>
        <w:t xml:space="preserve">UMA </w:t>
      </w:r>
      <w:r w:rsidRPr="00AA0CC6">
        <w:rPr>
          <w:rFonts w:ascii="Times New Roman" w:hAnsi="Times New Roman" w:cs="Times New Roman"/>
          <w:sz w:val="24"/>
          <w:szCs w:val="24"/>
        </w:rPr>
        <w:t>will maintain at least a 95% student attendance</w:t>
      </w:r>
      <w:r>
        <w:rPr>
          <w:rFonts w:ascii="Times New Roman" w:hAnsi="Times New Roman" w:cs="Times New Roman"/>
          <w:sz w:val="24"/>
          <w:szCs w:val="24"/>
        </w:rPr>
        <w:t xml:space="preserve"> (AYP) rate in the 2016-2017</w:t>
      </w:r>
      <w:r w:rsidRPr="00AA0CC6">
        <w:rPr>
          <w:rFonts w:ascii="Times New Roman" w:hAnsi="Times New Roman" w:cs="Times New Roman"/>
          <w:sz w:val="24"/>
          <w:szCs w:val="24"/>
        </w:rPr>
        <w:t xml:space="preserve"> school year.</w:t>
      </w:r>
    </w:p>
    <w:p w:rsidR="00D36C12" w:rsidRPr="00183930" w:rsidRDefault="00D36C12" w:rsidP="00D36C12">
      <w:pPr>
        <w:widowControl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GOAL MET</w:t>
      </w:r>
    </w:p>
    <w:p w:rsidR="00D36C12" w:rsidRPr="00AA0CC6" w:rsidRDefault="00D36C12" w:rsidP="00D36C12">
      <w:pPr>
        <w:widowControl w:val="0"/>
        <w:spacing w:after="0" w:line="240" w:lineRule="auto"/>
        <w:ind w:left="360" w:hanging="360"/>
        <w:rPr>
          <w:rFonts w:ascii="Times New Roman" w:hAnsi="Times New Roman" w:cs="Times New Roman"/>
          <w:sz w:val="24"/>
          <w:szCs w:val="24"/>
        </w:rPr>
      </w:pPr>
    </w:p>
    <w:p w:rsidR="00D36C12" w:rsidRPr="00AA0CC6" w:rsidRDefault="00D36C12" w:rsidP="00D36C12">
      <w:pPr>
        <w:widowControl w:val="0"/>
        <w:spacing w:after="0" w:line="240" w:lineRule="auto"/>
        <w:ind w:left="720"/>
        <w:rPr>
          <w:rFonts w:ascii="Times New Roman" w:hAnsi="Times New Roman" w:cs="Times New Roman"/>
          <w:b/>
          <w:iCs/>
          <w:sz w:val="24"/>
          <w:szCs w:val="24"/>
        </w:rPr>
      </w:pPr>
      <w:r w:rsidRPr="00AA0CC6">
        <w:rPr>
          <w:rFonts w:ascii="Times New Roman" w:hAnsi="Times New Roman" w:cs="Times New Roman"/>
          <w:b/>
          <w:sz w:val="24"/>
          <w:szCs w:val="24"/>
        </w:rPr>
        <w:t>Goal Four:</w:t>
      </w:r>
      <w:r w:rsidRPr="00AA0CC6">
        <w:rPr>
          <w:rFonts w:ascii="Times New Roman" w:hAnsi="Times New Roman" w:cs="Times New Roman"/>
          <w:sz w:val="24"/>
          <w:szCs w:val="24"/>
        </w:rPr>
        <w:t> </w:t>
      </w:r>
      <w:r w:rsidRPr="00AA0CC6">
        <w:rPr>
          <w:rFonts w:ascii="Times New Roman" w:hAnsi="Times New Roman" w:cs="Times New Roman"/>
          <w:iCs/>
          <w:sz w:val="24"/>
          <w:szCs w:val="24"/>
        </w:rPr>
        <w:t xml:space="preserve"> </w:t>
      </w:r>
    </w:p>
    <w:p w:rsidR="00D36C12" w:rsidRPr="00AA0CC6" w:rsidRDefault="00D36C12" w:rsidP="00D36C12">
      <w:pPr>
        <w:widowControl w:val="0"/>
        <w:spacing w:after="0" w:line="240" w:lineRule="auto"/>
        <w:ind w:left="1440"/>
        <w:rPr>
          <w:rFonts w:ascii="Times New Roman" w:hAnsi="Times New Roman" w:cs="Times New Roman"/>
          <w:iCs/>
          <w:sz w:val="24"/>
          <w:szCs w:val="24"/>
        </w:rPr>
      </w:pPr>
      <w:r>
        <w:rPr>
          <w:rFonts w:ascii="Times New Roman" w:hAnsi="Times New Roman" w:cs="Times New Roman"/>
          <w:iCs/>
          <w:sz w:val="24"/>
          <w:szCs w:val="24"/>
        </w:rPr>
        <w:t>UMA</w:t>
      </w:r>
      <w:r w:rsidRPr="00AA0CC6">
        <w:rPr>
          <w:rFonts w:ascii="Times New Roman" w:hAnsi="Times New Roman" w:cs="Times New Roman"/>
          <w:iCs/>
          <w:sz w:val="24"/>
          <w:szCs w:val="24"/>
        </w:rPr>
        <w:t xml:space="preserve"> will maintain an enrollment of at least </w:t>
      </w:r>
      <w:r>
        <w:rPr>
          <w:rFonts w:ascii="Times New Roman" w:hAnsi="Times New Roman" w:cs="Times New Roman"/>
          <w:iCs/>
          <w:sz w:val="24"/>
          <w:szCs w:val="24"/>
        </w:rPr>
        <w:t>325 students in the 2016-2017</w:t>
      </w:r>
      <w:r w:rsidRPr="00AA0CC6">
        <w:rPr>
          <w:rFonts w:ascii="Times New Roman" w:hAnsi="Times New Roman" w:cs="Times New Roman"/>
          <w:iCs/>
          <w:sz w:val="24"/>
          <w:szCs w:val="24"/>
        </w:rPr>
        <w:t xml:space="preserve"> school year.</w:t>
      </w:r>
    </w:p>
    <w:p w:rsidR="00D36C12" w:rsidRPr="00183930" w:rsidRDefault="00D36C12" w:rsidP="00D36C12">
      <w:pPr>
        <w:widowControl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GOAL MET</w:t>
      </w:r>
    </w:p>
    <w:p w:rsidR="00D36C12" w:rsidRPr="00AA0CC6" w:rsidRDefault="00D36C12" w:rsidP="00D36C12">
      <w:pPr>
        <w:widowControl w:val="0"/>
        <w:spacing w:after="0" w:line="240" w:lineRule="auto"/>
        <w:rPr>
          <w:rFonts w:ascii="Times New Roman" w:hAnsi="Times New Roman" w:cs="Times New Roman"/>
          <w:b/>
          <w:iCs/>
          <w:sz w:val="24"/>
          <w:szCs w:val="24"/>
        </w:rPr>
      </w:pPr>
    </w:p>
    <w:p w:rsidR="00D36C12" w:rsidRDefault="00D36C12" w:rsidP="00D36C12">
      <w:pPr>
        <w:spacing w:after="0" w:line="240" w:lineRule="auto"/>
        <w:rPr>
          <w:rFonts w:ascii="Times New Roman" w:hAnsi="Times New Roman" w:cs="Times New Roman"/>
          <w:b/>
          <w:sz w:val="24"/>
          <w:szCs w:val="24"/>
        </w:rPr>
      </w:pPr>
      <w:r>
        <w:rPr>
          <w:rFonts w:ascii="Times New Roman" w:hAnsi="Times New Roman" w:cs="Times New Roman"/>
          <w:b/>
          <w:sz w:val="24"/>
          <w:szCs w:val="24"/>
        </w:rPr>
        <w:tab/>
        <w:t>Goal Five:</w:t>
      </w:r>
    </w:p>
    <w:p w:rsidR="00D36C12" w:rsidRPr="00183930" w:rsidRDefault="00D36C12" w:rsidP="00D36C12">
      <w:pPr>
        <w:widowControl w:val="0"/>
        <w:spacing w:after="0" w:line="240" w:lineRule="auto"/>
        <w:ind w:left="1440"/>
        <w:rPr>
          <w:rFonts w:ascii="Times New Roman" w:hAnsi="Times New Roman" w:cs="Times New Roman"/>
          <w:b/>
          <w:sz w:val="24"/>
          <w:szCs w:val="24"/>
        </w:rPr>
      </w:pPr>
      <w:r w:rsidRPr="00183930">
        <w:rPr>
          <w:rFonts w:ascii="Times New Roman" w:hAnsi="Times New Roman" w:cs="Times New Roman"/>
          <w:sz w:val="24"/>
          <w:szCs w:val="28"/>
        </w:rPr>
        <w:t>UMA will have a minimum of 80% graduate rate within four years from the beginning of their 9th grade year.</w:t>
      </w:r>
      <w:r>
        <w:rPr>
          <w:szCs w:val="28"/>
        </w:rPr>
        <w:br/>
      </w:r>
      <w:r>
        <w:rPr>
          <w:rFonts w:ascii="Times New Roman" w:hAnsi="Times New Roman" w:cs="Times New Roman"/>
          <w:b/>
          <w:sz w:val="24"/>
          <w:szCs w:val="24"/>
        </w:rPr>
        <w:t>GOAL MET</w:t>
      </w:r>
    </w:p>
    <w:p w:rsidR="00D36C12" w:rsidRDefault="00D36C12" w:rsidP="00D36C12">
      <w:pPr>
        <w:pStyle w:val="ListParagraph"/>
        <w:ind w:left="1440"/>
        <w:rPr>
          <w:szCs w:val="28"/>
        </w:rPr>
      </w:pPr>
    </w:p>
    <w:p w:rsidR="00D36C12" w:rsidRDefault="00D36C12" w:rsidP="00D36C12">
      <w:pPr>
        <w:spacing w:after="0" w:line="240" w:lineRule="auto"/>
        <w:ind w:firstLine="720"/>
        <w:rPr>
          <w:rFonts w:ascii="Times New Roman" w:hAnsi="Times New Roman" w:cs="Times New Roman"/>
          <w:b/>
          <w:sz w:val="24"/>
          <w:szCs w:val="24"/>
        </w:rPr>
      </w:pPr>
    </w:p>
    <w:p w:rsidR="00D36C12" w:rsidRDefault="00D36C12" w:rsidP="00D36C12">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Goal Six:</w:t>
      </w:r>
    </w:p>
    <w:p w:rsidR="00D36C12" w:rsidRPr="009968D1" w:rsidRDefault="00D36C12" w:rsidP="00D36C12">
      <w:pPr>
        <w:pStyle w:val="ListParagraph"/>
        <w:ind w:left="1440"/>
        <w:rPr>
          <w:sz w:val="32"/>
          <w:szCs w:val="28"/>
        </w:rPr>
      </w:pPr>
      <w:r>
        <w:t>For each academic</w:t>
      </w:r>
      <w:r w:rsidRPr="009968D1">
        <w:t xml:space="preserve"> year, UMA will continue to provide college level coursework for credit through the University of Minnesota’s College in the Schools, </w:t>
      </w:r>
      <w:proofErr w:type="spellStart"/>
      <w:r w:rsidRPr="009968D1">
        <w:t>Normandale</w:t>
      </w:r>
      <w:proofErr w:type="spellEnd"/>
      <w:r w:rsidRPr="009968D1">
        <w:t xml:space="preserve"> Community College courses, College Possible and/or similar programs to provide in depth college readiness.</w:t>
      </w:r>
      <w:r w:rsidRPr="009968D1">
        <w:rPr>
          <w:sz w:val="32"/>
          <w:szCs w:val="28"/>
        </w:rPr>
        <w:t xml:space="preserve"> </w:t>
      </w:r>
    </w:p>
    <w:p w:rsidR="00D36C12" w:rsidRPr="00183930" w:rsidRDefault="00D36C12" w:rsidP="00D36C12">
      <w:pPr>
        <w:widowControl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GOAL MET</w:t>
      </w:r>
    </w:p>
    <w:p w:rsidR="00D36C12" w:rsidRDefault="00D36C12" w:rsidP="00D36C12">
      <w:pPr>
        <w:spacing w:after="0" w:line="240" w:lineRule="auto"/>
        <w:rPr>
          <w:rFonts w:ascii="Times New Roman" w:hAnsi="Times New Roman" w:cs="Times New Roman"/>
          <w:b/>
          <w:sz w:val="24"/>
          <w:szCs w:val="24"/>
        </w:rPr>
      </w:pPr>
    </w:p>
    <w:p w:rsidR="00D36C12" w:rsidRDefault="00D36C12" w:rsidP="00D36C12">
      <w:pPr>
        <w:spacing w:after="0"/>
        <w:ind w:left="360"/>
        <w:rPr>
          <w:rFonts w:ascii="Times New Roman" w:hAnsi="Times New Roman" w:cs="Times New Roman"/>
          <w:b/>
          <w:sz w:val="24"/>
          <w:szCs w:val="24"/>
        </w:rPr>
      </w:pPr>
    </w:p>
    <w:p w:rsidR="00C86243" w:rsidRDefault="00D36C12">
      <w:bookmarkStart w:id="2" w:name="_GoBack"/>
      <w:bookmarkEnd w:id="2"/>
    </w:p>
    <w:sectPr w:rsidR="00C86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302A8"/>
    <w:multiLevelType w:val="hybridMultilevel"/>
    <w:tmpl w:val="4036DF1E"/>
    <w:lvl w:ilvl="0" w:tplc="C3C4F13E">
      <w:start w:val="1"/>
      <w:numFmt w:val="decimal"/>
      <w:lvlText w:val="%1."/>
      <w:lvlJc w:val="left"/>
      <w:pPr>
        <w:ind w:left="1440" w:hanging="360"/>
      </w:pPr>
      <w:rPr>
        <w:rFonts w:hint="default"/>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7165C9"/>
    <w:multiLevelType w:val="hybridMultilevel"/>
    <w:tmpl w:val="E74E1EFE"/>
    <w:lvl w:ilvl="0" w:tplc="7BA4C560">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12"/>
    <w:rsid w:val="001D7CF3"/>
    <w:rsid w:val="00D36C12"/>
    <w:rsid w:val="00F3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516E7-842C-467A-92B8-7FCBEB07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C12"/>
    <w:pPr>
      <w:spacing w:after="0" w:line="240" w:lineRule="auto"/>
      <w:ind w:left="720"/>
      <w:contextualSpacing/>
    </w:pPr>
    <w:rPr>
      <w:rFonts w:ascii="Times New Roman" w:eastAsia="Times New Roman" w:hAnsi="Times New Roman" w:cs="Times New Roman"/>
      <w:sz w:val="24"/>
      <w:szCs w:val="20"/>
    </w:rPr>
  </w:style>
  <w:style w:type="table" w:styleId="TableGrid">
    <w:name w:val="Table Grid"/>
    <w:basedOn w:val="TableNormal"/>
    <w:uiPriority w:val="59"/>
    <w:rsid w:val="00D3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Brandt</dc:creator>
  <cp:keywords/>
  <dc:description/>
  <cp:lastModifiedBy>Eric Brandt</cp:lastModifiedBy>
  <cp:revision>1</cp:revision>
  <dcterms:created xsi:type="dcterms:W3CDTF">2017-12-04T18:58:00Z</dcterms:created>
  <dcterms:modified xsi:type="dcterms:W3CDTF">2017-12-04T19:00:00Z</dcterms:modified>
</cp:coreProperties>
</file>