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D6" w:rsidRDefault="007612D6">
      <w:pPr>
        <w:rPr>
          <w:b/>
          <w:sz w:val="28"/>
          <w:szCs w:val="28"/>
        </w:rPr>
      </w:pPr>
      <w:r>
        <w:rPr>
          <w:b/>
          <w:noProof/>
          <w:sz w:val="28"/>
          <w:szCs w:val="28"/>
        </w:rPr>
        <w:drawing>
          <wp:inline distT="0" distB="0" distL="0" distR="0">
            <wp:extent cx="1707356" cy="7715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er school-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1049" cy="782231"/>
                    </a:xfrm>
                    <a:prstGeom prst="rect">
                      <a:avLst/>
                    </a:prstGeom>
                  </pic:spPr>
                </pic:pic>
              </a:graphicData>
            </a:graphic>
          </wp:inline>
        </w:drawing>
      </w:r>
    </w:p>
    <w:p w:rsidR="007B01BE" w:rsidRPr="007B01BE" w:rsidRDefault="00235815">
      <w:pPr>
        <w:rPr>
          <w:sz w:val="26"/>
          <w:szCs w:val="26"/>
        </w:rPr>
      </w:pPr>
      <w:r w:rsidRPr="007B01BE">
        <w:rPr>
          <w:b/>
          <w:sz w:val="26"/>
          <w:szCs w:val="26"/>
        </w:rPr>
        <w:t>Charter Contract Goals</w:t>
      </w:r>
      <w:r w:rsidR="004A4198">
        <w:rPr>
          <w:b/>
          <w:sz w:val="26"/>
          <w:szCs w:val="26"/>
        </w:rPr>
        <w:t xml:space="preserve">: </w:t>
      </w:r>
      <w:r w:rsidR="00EA5AEE">
        <w:rPr>
          <w:b/>
          <w:sz w:val="26"/>
          <w:szCs w:val="26"/>
        </w:rPr>
        <w:t>Ubah Medical Academy</w:t>
      </w:r>
      <w:r w:rsidR="007612D6" w:rsidRPr="007B01BE">
        <w:rPr>
          <w:b/>
          <w:sz w:val="26"/>
          <w:szCs w:val="26"/>
        </w:rPr>
        <w:br/>
      </w:r>
      <w:r w:rsidR="007612D6" w:rsidRPr="007B01BE">
        <w:rPr>
          <w:sz w:val="26"/>
          <w:szCs w:val="26"/>
        </w:rPr>
        <w:t>School Year:</w:t>
      </w:r>
      <w:r w:rsidR="007B01BE" w:rsidRPr="007B01BE">
        <w:rPr>
          <w:sz w:val="26"/>
          <w:szCs w:val="26"/>
        </w:rPr>
        <w:t xml:space="preserve"> 2015-16</w:t>
      </w:r>
    </w:p>
    <w:tbl>
      <w:tblPr>
        <w:tblStyle w:val="TableGrid"/>
        <w:tblW w:w="5000" w:type="pct"/>
        <w:tblLook w:val="04A0" w:firstRow="1" w:lastRow="0" w:firstColumn="1" w:lastColumn="0" w:noHBand="0" w:noVBand="1"/>
      </w:tblPr>
      <w:tblGrid>
        <w:gridCol w:w="5601"/>
        <w:gridCol w:w="4022"/>
        <w:gridCol w:w="4993"/>
      </w:tblGrid>
      <w:tr w:rsidR="00FB6A47" w:rsidRPr="000B223E" w:rsidTr="007612D6">
        <w:trPr>
          <w:trHeight w:val="576"/>
        </w:trPr>
        <w:tc>
          <w:tcPr>
            <w:tcW w:w="1916" w:type="pct"/>
            <w:vAlign w:val="center"/>
          </w:tcPr>
          <w:p w:rsidR="00FB6A47" w:rsidRPr="00FB6A47" w:rsidRDefault="00FB6A47" w:rsidP="007612D6">
            <w:pPr>
              <w:rPr>
                <w:b/>
              </w:rPr>
            </w:pPr>
            <w:r w:rsidRPr="00FB6A47">
              <w:rPr>
                <w:b/>
              </w:rPr>
              <w:t>ACADEMIC and NON ACADEMIC GOALS</w:t>
            </w:r>
          </w:p>
        </w:tc>
        <w:tc>
          <w:tcPr>
            <w:tcW w:w="1376" w:type="pct"/>
            <w:vAlign w:val="center"/>
          </w:tcPr>
          <w:p w:rsidR="00FB6A47" w:rsidRPr="00FB6A47" w:rsidRDefault="00FB6A47" w:rsidP="007612D6">
            <w:pPr>
              <w:rPr>
                <w:b/>
              </w:rPr>
            </w:pPr>
            <w:r>
              <w:rPr>
                <w:b/>
              </w:rPr>
              <w:t>REPORTED PROGRESS</w:t>
            </w:r>
          </w:p>
        </w:tc>
        <w:tc>
          <w:tcPr>
            <w:tcW w:w="1708" w:type="pct"/>
            <w:vAlign w:val="center"/>
          </w:tcPr>
          <w:p w:rsidR="00FB6A47" w:rsidRPr="00FB6A47" w:rsidRDefault="00FB6A47" w:rsidP="007612D6">
            <w:pPr>
              <w:rPr>
                <w:b/>
              </w:rPr>
            </w:pPr>
            <w:r>
              <w:rPr>
                <w:b/>
              </w:rPr>
              <w:t>NOTES</w:t>
            </w:r>
          </w:p>
        </w:tc>
      </w:tr>
      <w:tr w:rsidR="00FB6A47" w:rsidRPr="000B223E" w:rsidTr="00FB6A47">
        <w:tc>
          <w:tcPr>
            <w:tcW w:w="1916" w:type="pct"/>
          </w:tcPr>
          <w:p w:rsidR="00471AED" w:rsidRPr="00471AED" w:rsidRDefault="00471AED" w:rsidP="00471AED">
            <w:pPr>
              <w:rPr>
                <w:b/>
                <w:sz w:val="20"/>
                <w:szCs w:val="20"/>
              </w:rPr>
            </w:pPr>
            <w:r w:rsidRPr="00471AED">
              <w:rPr>
                <w:b/>
                <w:sz w:val="20"/>
                <w:szCs w:val="20"/>
              </w:rPr>
              <w:t>Math – MCA</w:t>
            </w:r>
          </w:p>
          <w:p w:rsidR="00FB6A47" w:rsidRPr="000B223E" w:rsidRDefault="00471AED" w:rsidP="00471AED">
            <w:pPr>
              <w:rPr>
                <w:sz w:val="20"/>
                <w:szCs w:val="20"/>
              </w:rPr>
            </w:pPr>
            <w:r w:rsidRPr="00471AED">
              <w:rPr>
                <w:sz w:val="20"/>
                <w:szCs w:val="20"/>
              </w:rPr>
              <w:t>UMA students, meeting the State October 1 enrollment requirement, will increase math proficiency an average of 1% each year as measured by the state MN Comprehensive Assessment series, using 2014 MCA data as the baseline, by the end of thi</w:t>
            </w:r>
            <w:r>
              <w:rPr>
                <w:sz w:val="20"/>
                <w:szCs w:val="20"/>
              </w:rPr>
              <w:t>s contract term, June 30, 2020.</w:t>
            </w:r>
          </w:p>
        </w:tc>
        <w:tc>
          <w:tcPr>
            <w:tcW w:w="1376" w:type="pct"/>
          </w:tcPr>
          <w:p w:rsidR="00FB6A47" w:rsidRDefault="00582F6F" w:rsidP="0002646B">
            <w:pPr>
              <w:tabs>
                <w:tab w:val="center" w:pos="1199"/>
              </w:tabs>
              <w:autoSpaceDE w:val="0"/>
              <w:autoSpaceDN w:val="0"/>
              <w:adjustRightInd w:val="0"/>
              <w:rPr>
                <w:sz w:val="20"/>
                <w:szCs w:val="20"/>
              </w:rPr>
            </w:pPr>
            <w:sdt>
              <w:sdtPr>
                <w:rPr>
                  <w:sz w:val="20"/>
                  <w:szCs w:val="20"/>
                </w:rPr>
                <w:id w:val="-269928218"/>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met</w:t>
            </w:r>
          </w:p>
          <w:p w:rsidR="00FB6A47" w:rsidRDefault="00582F6F" w:rsidP="0002646B">
            <w:pPr>
              <w:tabs>
                <w:tab w:val="center" w:pos="1199"/>
              </w:tabs>
              <w:autoSpaceDE w:val="0"/>
              <w:autoSpaceDN w:val="0"/>
              <w:adjustRightInd w:val="0"/>
              <w:rPr>
                <w:sz w:val="20"/>
                <w:szCs w:val="20"/>
              </w:rPr>
            </w:pPr>
            <w:sdt>
              <w:sdtPr>
                <w:rPr>
                  <w:sz w:val="20"/>
                  <w:szCs w:val="20"/>
                </w:rPr>
                <w:id w:val="506181404"/>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partially met </w:t>
            </w:r>
          </w:p>
          <w:p w:rsidR="00FB6A47" w:rsidRDefault="00582F6F" w:rsidP="0002646B">
            <w:pPr>
              <w:tabs>
                <w:tab w:val="center" w:pos="1199"/>
              </w:tabs>
              <w:autoSpaceDE w:val="0"/>
              <w:autoSpaceDN w:val="0"/>
              <w:adjustRightInd w:val="0"/>
              <w:rPr>
                <w:sz w:val="20"/>
                <w:szCs w:val="20"/>
              </w:rPr>
            </w:pPr>
            <w:sdt>
              <w:sdtPr>
                <w:rPr>
                  <w:sz w:val="20"/>
                  <w:szCs w:val="20"/>
                </w:rPr>
                <w:id w:val="-3754532"/>
                <w14:checkbox>
                  <w14:checked w14:val="1"/>
                  <w14:checkedState w14:val="2612" w14:font="MS Gothic"/>
                  <w14:uncheckedState w14:val="2610" w14:font="MS Gothic"/>
                </w14:checkbox>
              </w:sdtPr>
              <w:sdtEndPr/>
              <w:sdtContent>
                <w:r w:rsidR="0026797D">
                  <w:rPr>
                    <w:rFonts w:ascii="MS Gothic" w:eastAsia="MS Gothic" w:hAnsi="MS Gothic" w:hint="eastAsia"/>
                    <w:sz w:val="20"/>
                    <w:szCs w:val="20"/>
                  </w:rPr>
                  <w:t>☒</w:t>
                </w:r>
              </w:sdtContent>
            </w:sdt>
            <w:r w:rsidR="00FB6A47">
              <w:rPr>
                <w:sz w:val="20"/>
                <w:szCs w:val="20"/>
              </w:rPr>
              <w:t xml:space="preserve"> Goal currently not  met</w:t>
            </w:r>
            <w:r w:rsidR="00FB6A47">
              <w:rPr>
                <w:sz w:val="20"/>
                <w:szCs w:val="20"/>
              </w:rPr>
              <w:tab/>
            </w:r>
          </w:p>
          <w:p w:rsidR="00FB6A47" w:rsidRDefault="00FB6A47" w:rsidP="00446C56">
            <w:pPr>
              <w:autoSpaceDE w:val="0"/>
              <w:autoSpaceDN w:val="0"/>
              <w:adjustRightInd w:val="0"/>
              <w:rPr>
                <w:sz w:val="20"/>
                <w:szCs w:val="20"/>
              </w:rPr>
            </w:pPr>
          </w:p>
          <w:p w:rsidR="00FB6A47" w:rsidRPr="000B223E" w:rsidRDefault="00FB6A47" w:rsidP="00446C56">
            <w:pPr>
              <w:autoSpaceDE w:val="0"/>
              <w:autoSpaceDN w:val="0"/>
              <w:adjustRightInd w:val="0"/>
              <w:rPr>
                <w:sz w:val="20"/>
                <w:szCs w:val="20"/>
              </w:rPr>
            </w:pPr>
          </w:p>
        </w:tc>
        <w:tc>
          <w:tcPr>
            <w:tcW w:w="1708" w:type="pct"/>
          </w:tcPr>
          <w:p w:rsidR="00FB6A47" w:rsidRPr="000B223E" w:rsidRDefault="007104A2" w:rsidP="00CB50A3">
            <w:pPr>
              <w:rPr>
                <w:sz w:val="20"/>
                <w:szCs w:val="20"/>
              </w:rPr>
            </w:pPr>
            <w:r>
              <w:rPr>
                <w:sz w:val="20"/>
                <w:szCs w:val="20"/>
              </w:rPr>
              <w:t>The base year of 2014 showed UMA with a 42.2% for MCA Math.  2015 UMA scored 42.7% proficiency and in 2016 UMA scored 24.3% proficiency.  This is currently showing that Ubah is not meeting this goal.</w:t>
            </w:r>
          </w:p>
        </w:tc>
      </w:tr>
      <w:tr w:rsidR="00FB6A47" w:rsidRPr="000B223E" w:rsidTr="00FB6A47">
        <w:tc>
          <w:tcPr>
            <w:tcW w:w="1916" w:type="pct"/>
          </w:tcPr>
          <w:p w:rsidR="00471AED" w:rsidRPr="00471AED" w:rsidRDefault="00471AED" w:rsidP="00471AED">
            <w:pPr>
              <w:rPr>
                <w:b/>
                <w:sz w:val="20"/>
                <w:szCs w:val="20"/>
              </w:rPr>
            </w:pPr>
            <w:r w:rsidRPr="00471AED">
              <w:rPr>
                <w:b/>
                <w:sz w:val="20"/>
                <w:szCs w:val="20"/>
              </w:rPr>
              <w:t>Reading - MCA</w:t>
            </w:r>
          </w:p>
          <w:p w:rsidR="00FB6A47" w:rsidRPr="000B223E" w:rsidRDefault="00471AED" w:rsidP="00471AED">
            <w:pPr>
              <w:rPr>
                <w:sz w:val="20"/>
                <w:szCs w:val="20"/>
              </w:rPr>
            </w:pPr>
            <w:r w:rsidRPr="00471AED">
              <w:rPr>
                <w:sz w:val="20"/>
                <w:szCs w:val="20"/>
              </w:rPr>
              <w:t>UMA students, meeting the State October 1 enrollment requirement, will increase reading proficiency an average of 1% each year as measured by the state MN Comprehensive Assessment series, using 2014 MCA data as the baseline, by the end of thi</w:t>
            </w:r>
            <w:r>
              <w:rPr>
                <w:sz w:val="20"/>
                <w:szCs w:val="20"/>
              </w:rPr>
              <w:t>s contract term, June 30, 2020.</w:t>
            </w:r>
          </w:p>
        </w:tc>
        <w:tc>
          <w:tcPr>
            <w:tcW w:w="1376" w:type="pct"/>
          </w:tcPr>
          <w:p w:rsidR="00FB6A47" w:rsidRDefault="00582F6F" w:rsidP="0002646B">
            <w:pPr>
              <w:tabs>
                <w:tab w:val="center" w:pos="1199"/>
              </w:tabs>
              <w:autoSpaceDE w:val="0"/>
              <w:autoSpaceDN w:val="0"/>
              <w:adjustRightInd w:val="0"/>
              <w:rPr>
                <w:sz w:val="20"/>
                <w:szCs w:val="20"/>
              </w:rPr>
            </w:pPr>
            <w:sdt>
              <w:sdtPr>
                <w:rPr>
                  <w:sz w:val="20"/>
                  <w:szCs w:val="20"/>
                </w:rPr>
                <w:id w:val="1548872266"/>
                <w14:checkbox>
                  <w14:checked w14:val="1"/>
                  <w14:checkedState w14:val="2612" w14:font="MS Gothic"/>
                  <w14:uncheckedState w14:val="2610" w14:font="MS Gothic"/>
                </w14:checkbox>
              </w:sdtPr>
              <w:sdtEndPr/>
              <w:sdtContent>
                <w:r w:rsidR="0026797D">
                  <w:rPr>
                    <w:rFonts w:ascii="MS Gothic" w:eastAsia="MS Gothic" w:hAnsi="MS Gothic" w:hint="eastAsia"/>
                    <w:sz w:val="20"/>
                    <w:szCs w:val="20"/>
                  </w:rPr>
                  <w:t>☒</w:t>
                </w:r>
              </w:sdtContent>
            </w:sdt>
            <w:r w:rsidR="00FB6A47">
              <w:rPr>
                <w:sz w:val="20"/>
                <w:szCs w:val="20"/>
              </w:rPr>
              <w:t xml:space="preserve">  Goal met</w:t>
            </w:r>
          </w:p>
          <w:p w:rsidR="00FB6A47" w:rsidRDefault="00582F6F" w:rsidP="0002646B">
            <w:pPr>
              <w:tabs>
                <w:tab w:val="center" w:pos="1199"/>
              </w:tabs>
              <w:autoSpaceDE w:val="0"/>
              <w:autoSpaceDN w:val="0"/>
              <w:adjustRightInd w:val="0"/>
              <w:rPr>
                <w:sz w:val="20"/>
                <w:szCs w:val="20"/>
              </w:rPr>
            </w:pPr>
            <w:sdt>
              <w:sdtPr>
                <w:rPr>
                  <w:sz w:val="20"/>
                  <w:szCs w:val="20"/>
                </w:rPr>
                <w:id w:val="-2032563630"/>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partially met </w:t>
            </w:r>
          </w:p>
          <w:p w:rsidR="00FB6A47" w:rsidRDefault="00582F6F" w:rsidP="0002646B">
            <w:pPr>
              <w:tabs>
                <w:tab w:val="center" w:pos="1199"/>
              </w:tabs>
              <w:autoSpaceDE w:val="0"/>
              <w:autoSpaceDN w:val="0"/>
              <w:adjustRightInd w:val="0"/>
              <w:rPr>
                <w:sz w:val="20"/>
                <w:szCs w:val="20"/>
              </w:rPr>
            </w:pPr>
            <w:sdt>
              <w:sdtPr>
                <w:rPr>
                  <w:sz w:val="20"/>
                  <w:szCs w:val="20"/>
                </w:rPr>
                <w:id w:val="-925961635"/>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currently not  met</w:t>
            </w:r>
            <w:r w:rsidR="00FB6A47">
              <w:rPr>
                <w:sz w:val="20"/>
                <w:szCs w:val="20"/>
              </w:rPr>
              <w:tab/>
            </w:r>
          </w:p>
          <w:p w:rsidR="00FB6A47" w:rsidRDefault="00FB6A47" w:rsidP="00446C56">
            <w:pPr>
              <w:jc w:val="both"/>
              <w:rPr>
                <w:sz w:val="20"/>
                <w:szCs w:val="20"/>
              </w:rPr>
            </w:pPr>
          </w:p>
          <w:p w:rsidR="00FB6A47" w:rsidRPr="000B223E" w:rsidRDefault="00FB6A47" w:rsidP="00446C56">
            <w:pPr>
              <w:jc w:val="both"/>
              <w:rPr>
                <w:sz w:val="20"/>
                <w:szCs w:val="20"/>
              </w:rPr>
            </w:pPr>
          </w:p>
        </w:tc>
        <w:tc>
          <w:tcPr>
            <w:tcW w:w="1708" w:type="pct"/>
          </w:tcPr>
          <w:p w:rsidR="00FB6A47" w:rsidRPr="000B223E" w:rsidRDefault="0026797D">
            <w:pPr>
              <w:rPr>
                <w:sz w:val="20"/>
                <w:szCs w:val="20"/>
              </w:rPr>
            </w:pPr>
            <w:r>
              <w:rPr>
                <w:sz w:val="20"/>
                <w:szCs w:val="20"/>
              </w:rPr>
              <w:t>The base year of 2014 showed UMA with a 41.8% for MCA Reading.  2015 UMA scored 48.2% proficiency and in 2016 UMA scored 48.5% proficiency.  This is currently showing an increase of over 1% per year.</w:t>
            </w:r>
          </w:p>
        </w:tc>
      </w:tr>
      <w:tr w:rsidR="00FB6A47" w:rsidRPr="000B223E" w:rsidTr="00FB6A47">
        <w:tc>
          <w:tcPr>
            <w:tcW w:w="1916" w:type="pct"/>
          </w:tcPr>
          <w:p w:rsidR="00471AED" w:rsidRPr="00471AED" w:rsidRDefault="00471AED" w:rsidP="00471AED">
            <w:pPr>
              <w:rPr>
                <w:b/>
                <w:sz w:val="20"/>
                <w:szCs w:val="20"/>
              </w:rPr>
            </w:pPr>
            <w:r w:rsidRPr="00471AED">
              <w:rPr>
                <w:b/>
                <w:sz w:val="20"/>
                <w:szCs w:val="20"/>
              </w:rPr>
              <w:t>Math Growth – NWEA MAP</w:t>
            </w:r>
          </w:p>
          <w:p w:rsidR="00FB6A47" w:rsidRPr="000B223E" w:rsidRDefault="00471AED" w:rsidP="00471AED">
            <w:pPr>
              <w:rPr>
                <w:sz w:val="20"/>
                <w:szCs w:val="20"/>
              </w:rPr>
            </w:pPr>
            <w:r w:rsidRPr="00471AED">
              <w:rPr>
                <w:sz w:val="20"/>
                <w:szCs w:val="20"/>
              </w:rPr>
              <w:t>Using the 2014-2015 MAP growth data as a baseline, the percentage of UMA general education students, who have been continuously enrolled (having tested both Seasons), who meet or exceed their NWEA identified Growth Targets for math as measured by the NWEA MAP Assessments utilizing the Spring to Spring RIT Scores and Growth Targets will grow each year by a minimum of 1% with a long-range target of 70% of students meeting their growth targets by the end of the contract term on June 30, 2020.</w:t>
            </w:r>
          </w:p>
        </w:tc>
        <w:tc>
          <w:tcPr>
            <w:tcW w:w="1376" w:type="pct"/>
          </w:tcPr>
          <w:p w:rsidR="00FB6A47" w:rsidRDefault="00582F6F" w:rsidP="002412F6">
            <w:pPr>
              <w:tabs>
                <w:tab w:val="center" w:pos="1199"/>
              </w:tabs>
              <w:autoSpaceDE w:val="0"/>
              <w:autoSpaceDN w:val="0"/>
              <w:adjustRightInd w:val="0"/>
              <w:rPr>
                <w:sz w:val="20"/>
                <w:szCs w:val="20"/>
              </w:rPr>
            </w:pPr>
            <w:sdt>
              <w:sdtPr>
                <w:rPr>
                  <w:sz w:val="20"/>
                  <w:szCs w:val="20"/>
                </w:rPr>
                <w:id w:val="1278137551"/>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met</w:t>
            </w:r>
          </w:p>
          <w:p w:rsidR="00FB6A47" w:rsidRDefault="00582F6F" w:rsidP="002412F6">
            <w:pPr>
              <w:tabs>
                <w:tab w:val="center" w:pos="1199"/>
              </w:tabs>
              <w:autoSpaceDE w:val="0"/>
              <w:autoSpaceDN w:val="0"/>
              <w:adjustRightInd w:val="0"/>
              <w:rPr>
                <w:sz w:val="20"/>
                <w:szCs w:val="20"/>
              </w:rPr>
            </w:pPr>
            <w:sdt>
              <w:sdtPr>
                <w:rPr>
                  <w:sz w:val="20"/>
                  <w:szCs w:val="20"/>
                </w:rPr>
                <w:id w:val="1640218469"/>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partially met </w:t>
            </w:r>
          </w:p>
          <w:p w:rsidR="00FB6A47" w:rsidRDefault="00582F6F" w:rsidP="002412F6">
            <w:pPr>
              <w:tabs>
                <w:tab w:val="center" w:pos="1199"/>
              </w:tabs>
              <w:autoSpaceDE w:val="0"/>
              <w:autoSpaceDN w:val="0"/>
              <w:adjustRightInd w:val="0"/>
              <w:rPr>
                <w:sz w:val="20"/>
                <w:szCs w:val="20"/>
              </w:rPr>
            </w:pPr>
            <w:sdt>
              <w:sdtPr>
                <w:rPr>
                  <w:sz w:val="20"/>
                  <w:szCs w:val="20"/>
                </w:rPr>
                <w:id w:val="-101959737"/>
                <w14:checkbox>
                  <w14:checked w14:val="1"/>
                  <w14:checkedState w14:val="2612" w14:font="MS Gothic"/>
                  <w14:uncheckedState w14:val="2610" w14:font="MS Gothic"/>
                </w14:checkbox>
              </w:sdtPr>
              <w:sdtEndPr/>
              <w:sdtContent>
                <w:r w:rsidR="00DC33F4">
                  <w:rPr>
                    <w:rFonts w:ascii="MS Gothic" w:eastAsia="MS Gothic" w:hAnsi="MS Gothic" w:hint="eastAsia"/>
                    <w:sz w:val="20"/>
                    <w:szCs w:val="20"/>
                  </w:rPr>
                  <w:t>☒</w:t>
                </w:r>
              </w:sdtContent>
            </w:sdt>
            <w:r w:rsidR="00FB6A47">
              <w:rPr>
                <w:sz w:val="20"/>
                <w:szCs w:val="20"/>
              </w:rPr>
              <w:t xml:space="preserve"> Goal currently not  met</w:t>
            </w:r>
            <w:r w:rsidR="00FB6A47">
              <w:rPr>
                <w:sz w:val="20"/>
                <w:szCs w:val="20"/>
              </w:rPr>
              <w:tab/>
            </w:r>
          </w:p>
          <w:p w:rsidR="00FB6A47" w:rsidRDefault="00FB6A47" w:rsidP="002412F6">
            <w:pPr>
              <w:autoSpaceDE w:val="0"/>
              <w:autoSpaceDN w:val="0"/>
              <w:adjustRightInd w:val="0"/>
              <w:rPr>
                <w:sz w:val="20"/>
                <w:szCs w:val="20"/>
              </w:rPr>
            </w:pPr>
          </w:p>
          <w:p w:rsidR="00FB6A47" w:rsidRPr="000B223E" w:rsidRDefault="00FB6A47" w:rsidP="002412F6">
            <w:pPr>
              <w:autoSpaceDE w:val="0"/>
              <w:autoSpaceDN w:val="0"/>
              <w:adjustRightInd w:val="0"/>
              <w:rPr>
                <w:sz w:val="20"/>
                <w:szCs w:val="20"/>
              </w:rPr>
            </w:pPr>
          </w:p>
        </w:tc>
        <w:tc>
          <w:tcPr>
            <w:tcW w:w="1708" w:type="pct"/>
          </w:tcPr>
          <w:p w:rsidR="00FB6A47" w:rsidRPr="000B223E" w:rsidRDefault="00DC33F4" w:rsidP="002412F6">
            <w:pPr>
              <w:rPr>
                <w:sz w:val="20"/>
                <w:szCs w:val="20"/>
              </w:rPr>
            </w:pPr>
            <w:r>
              <w:rPr>
                <w:sz w:val="20"/>
                <w:szCs w:val="20"/>
              </w:rPr>
              <w:t>Using the MAP growth data, 38.3</w:t>
            </w:r>
            <w:r>
              <w:rPr>
                <w:sz w:val="20"/>
                <w:szCs w:val="20"/>
              </w:rPr>
              <w:t xml:space="preserve">% of the students met the </w:t>
            </w:r>
            <w:r>
              <w:rPr>
                <w:sz w:val="20"/>
                <w:szCs w:val="20"/>
              </w:rPr>
              <w:t>MAP growth targets for Math</w:t>
            </w:r>
            <w:r>
              <w:rPr>
                <w:sz w:val="20"/>
                <w:szCs w:val="20"/>
              </w:rPr>
              <w:t xml:space="preserve"> for Spring of 2015 to Spring of 2016.  </w:t>
            </w:r>
          </w:p>
        </w:tc>
      </w:tr>
      <w:tr w:rsidR="00FB6A47" w:rsidRPr="000B223E" w:rsidTr="00FB6A47">
        <w:tc>
          <w:tcPr>
            <w:tcW w:w="1916" w:type="pct"/>
          </w:tcPr>
          <w:p w:rsidR="00471AED" w:rsidRPr="00471AED" w:rsidRDefault="00471AED" w:rsidP="00471AED">
            <w:pPr>
              <w:rPr>
                <w:b/>
                <w:sz w:val="20"/>
                <w:szCs w:val="20"/>
              </w:rPr>
            </w:pPr>
            <w:r w:rsidRPr="00471AED">
              <w:rPr>
                <w:b/>
                <w:sz w:val="20"/>
                <w:szCs w:val="20"/>
              </w:rPr>
              <w:t>Reading Growth – NWEA MAP</w:t>
            </w:r>
          </w:p>
          <w:p w:rsidR="00FB6A47" w:rsidRPr="000B223E" w:rsidRDefault="00471AED" w:rsidP="00471AED">
            <w:pPr>
              <w:rPr>
                <w:sz w:val="20"/>
                <w:szCs w:val="20"/>
              </w:rPr>
            </w:pPr>
            <w:r w:rsidRPr="00471AED">
              <w:rPr>
                <w:sz w:val="20"/>
                <w:szCs w:val="20"/>
              </w:rPr>
              <w:t>Using the 2014-2015 MAP growth data as a baseline, the percentage of general education UMA students, who have been continuously enrolled (having tested both Seasons), who meet or exceed their NWEA identified Growth Targets for reading as measured by the NWEA MAP Assessments utilizing the Spring to Spring RIT Scores and Growth Targets will grow each year by a minimum of 1% with a long-range target of 70% of students meeting their growth targets by the end of the contract term on June 30, 2020. 5.</w:t>
            </w:r>
          </w:p>
        </w:tc>
        <w:tc>
          <w:tcPr>
            <w:tcW w:w="1376" w:type="pct"/>
          </w:tcPr>
          <w:p w:rsidR="00FB6A47" w:rsidRDefault="00582F6F" w:rsidP="002412F6">
            <w:pPr>
              <w:tabs>
                <w:tab w:val="center" w:pos="1199"/>
              </w:tabs>
              <w:autoSpaceDE w:val="0"/>
              <w:autoSpaceDN w:val="0"/>
              <w:adjustRightInd w:val="0"/>
              <w:rPr>
                <w:sz w:val="20"/>
                <w:szCs w:val="20"/>
              </w:rPr>
            </w:pPr>
            <w:sdt>
              <w:sdtPr>
                <w:rPr>
                  <w:sz w:val="20"/>
                  <w:szCs w:val="20"/>
                </w:rPr>
                <w:id w:val="2096350310"/>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met</w:t>
            </w:r>
          </w:p>
          <w:p w:rsidR="00FB6A47" w:rsidRDefault="00582F6F" w:rsidP="002412F6">
            <w:pPr>
              <w:tabs>
                <w:tab w:val="center" w:pos="1199"/>
              </w:tabs>
              <w:autoSpaceDE w:val="0"/>
              <w:autoSpaceDN w:val="0"/>
              <w:adjustRightInd w:val="0"/>
              <w:rPr>
                <w:sz w:val="20"/>
                <w:szCs w:val="20"/>
              </w:rPr>
            </w:pPr>
            <w:sdt>
              <w:sdtPr>
                <w:rPr>
                  <w:sz w:val="20"/>
                  <w:szCs w:val="20"/>
                </w:rPr>
                <w:id w:val="1676304269"/>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partially met </w:t>
            </w:r>
          </w:p>
          <w:p w:rsidR="00FB6A47" w:rsidRDefault="00582F6F" w:rsidP="002412F6">
            <w:pPr>
              <w:tabs>
                <w:tab w:val="center" w:pos="1199"/>
              </w:tabs>
              <w:autoSpaceDE w:val="0"/>
              <w:autoSpaceDN w:val="0"/>
              <w:adjustRightInd w:val="0"/>
              <w:rPr>
                <w:sz w:val="20"/>
                <w:szCs w:val="20"/>
              </w:rPr>
            </w:pPr>
            <w:sdt>
              <w:sdtPr>
                <w:rPr>
                  <w:sz w:val="20"/>
                  <w:szCs w:val="20"/>
                </w:rPr>
                <w:id w:val="201607193"/>
                <w14:checkbox>
                  <w14:checked w14:val="1"/>
                  <w14:checkedState w14:val="2612" w14:font="MS Gothic"/>
                  <w14:uncheckedState w14:val="2610" w14:font="MS Gothic"/>
                </w14:checkbox>
              </w:sdtPr>
              <w:sdtEndPr/>
              <w:sdtContent>
                <w:r w:rsidR="00DC33F4">
                  <w:rPr>
                    <w:rFonts w:ascii="MS Gothic" w:eastAsia="MS Gothic" w:hAnsi="MS Gothic" w:hint="eastAsia"/>
                    <w:sz w:val="20"/>
                    <w:szCs w:val="20"/>
                  </w:rPr>
                  <w:t>☒</w:t>
                </w:r>
              </w:sdtContent>
            </w:sdt>
            <w:r w:rsidR="00FB6A47">
              <w:rPr>
                <w:sz w:val="20"/>
                <w:szCs w:val="20"/>
              </w:rPr>
              <w:t xml:space="preserve"> Goal currently not  met</w:t>
            </w:r>
            <w:r w:rsidR="00FB6A47">
              <w:rPr>
                <w:sz w:val="20"/>
                <w:szCs w:val="20"/>
              </w:rPr>
              <w:tab/>
            </w:r>
          </w:p>
          <w:p w:rsidR="00FB6A47" w:rsidRDefault="00FB6A47" w:rsidP="002412F6">
            <w:pPr>
              <w:jc w:val="both"/>
              <w:rPr>
                <w:sz w:val="20"/>
                <w:szCs w:val="20"/>
              </w:rPr>
            </w:pPr>
          </w:p>
          <w:p w:rsidR="00FB6A47" w:rsidRPr="000B223E" w:rsidRDefault="00FB6A47" w:rsidP="002412F6">
            <w:pPr>
              <w:jc w:val="both"/>
              <w:rPr>
                <w:sz w:val="20"/>
                <w:szCs w:val="20"/>
              </w:rPr>
            </w:pPr>
          </w:p>
        </w:tc>
        <w:tc>
          <w:tcPr>
            <w:tcW w:w="1708" w:type="pct"/>
          </w:tcPr>
          <w:p w:rsidR="00FB6A47" w:rsidRPr="000B223E" w:rsidRDefault="00DC33F4" w:rsidP="002412F6">
            <w:pPr>
              <w:rPr>
                <w:sz w:val="20"/>
                <w:szCs w:val="20"/>
              </w:rPr>
            </w:pPr>
            <w:r>
              <w:rPr>
                <w:sz w:val="20"/>
                <w:szCs w:val="20"/>
              </w:rPr>
              <w:t xml:space="preserve">Using the MAP growth data, 42.2% of the students met the MAP growth targets for Reading for Spring of 2015 to Spring of 2016.  </w:t>
            </w:r>
          </w:p>
        </w:tc>
      </w:tr>
      <w:tr w:rsidR="00FB6A47" w:rsidRPr="000B223E" w:rsidTr="007C2BF3">
        <w:tc>
          <w:tcPr>
            <w:tcW w:w="1916" w:type="pct"/>
          </w:tcPr>
          <w:p w:rsidR="00471AED" w:rsidRPr="00471AED" w:rsidRDefault="00471AED" w:rsidP="00471AED">
            <w:pPr>
              <w:rPr>
                <w:b/>
                <w:sz w:val="20"/>
                <w:szCs w:val="20"/>
              </w:rPr>
            </w:pPr>
            <w:r w:rsidRPr="00471AED">
              <w:rPr>
                <w:b/>
                <w:sz w:val="20"/>
                <w:szCs w:val="20"/>
              </w:rPr>
              <w:lastRenderedPageBreak/>
              <w:t>IEP Academic Growth - NWEA</w:t>
            </w:r>
          </w:p>
          <w:p w:rsidR="00FB6A47" w:rsidRPr="000B223E" w:rsidRDefault="00471AED" w:rsidP="00471AED">
            <w:pPr>
              <w:rPr>
                <w:sz w:val="20"/>
                <w:szCs w:val="20"/>
              </w:rPr>
            </w:pPr>
            <w:r w:rsidRPr="00471AED">
              <w:rPr>
                <w:sz w:val="20"/>
                <w:szCs w:val="20"/>
              </w:rPr>
              <w:t>Special Education Students taking the NWEA Measures of Academic Progress will meet or exceed their expected growth targets as determined by their IEP team and indicated in their IEP academic goals</w:t>
            </w:r>
          </w:p>
        </w:tc>
        <w:tc>
          <w:tcPr>
            <w:tcW w:w="1376" w:type="pct"/>
          </w:tcPr>
          <w:p w:rsidR="00FB6A47" w:rsidRDefault="00582F6F" w:rsidP="007C2BF3">
            <w:pPr>
              <w:tabs>
                <w:tab w:val="center" w:pos="1199"/>
              </w:tabs>
              <w:autoSpaceDE w:val="0"/>
              <w:autoSpaceDN w:val="0"/>
              <w:adjustRightInd w:val="0"/>
              <w:rPr>
                <w:sz w:val="20"/>
                <w:szCs w:val="20"/>
              </w:rPr>
            </w:pPr>
            <w:sdt>
              <w:sdtPr>
                <w:rPr>
                  <w:sz w:val="20"/>
                  <w:szCs w:val="20"/>
                </w:rPr>
                <w:id w:val="1298179220"/>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met</w:t>
            </w:r>
          </w:p>
          <w:p w:rsidR="00FB6A47" w:rsidRDefault="00582F6F" w:rsidP="007C2BF3">
            <w:pPr>
              <w:tabs>
                <w:tab w:val="center" w:pos="1199"/>
              </w:tabs>
              <w:autoSpaceDE w:val="0"/>
              <w:autoSpaceDN w:val="0"/>
              <w:adjustRightInd w:val="0"/>
              <w:rPr>
                <w:sz w:val="20"/>
                <w:szCs w:val="20"/>
              </w:rPr>
            </w:pPr>
            <w:sdt>
              <w:sdtPr>
                <w:rPr>
                  <w:sz w:val="20"/>
                  <w:szCs w:val="20"/>
                </w:rPr>
                <w:id w:val="300729651"/>
                <w14:checkbox>
                  <w14:checked w14:val="0"/>
                  <w14:checkedState w14:val="2612" w14:font="MS Gothic"/>
                  <w14:uncheckedState w14:val="2610" w14:font="MS Gothic"/>
                </w14:checkbox>
              </w:sdtPr>
              <w:sdtEndPr/>
              <w:sdtContent>
                <w:r w:rsidR="00FB6A47">
                  <w:rPr>
                    <w:rFonts w:ascii="MS Gothic" w:eastAsia="MS Gothic" w:hAnsi="MS Gothic" w:hint="eastAsia"/>
                    <w:sz w:val="20"/>
                    <w:szCs w:val="20"/>
                  </w:rPr>
                  <w:t>☐</w:t>
                </w:r>
              </w:sdtContent>
            </w:sdt>
            <w:r w:rsidR="00FB6A47">
              <w:rPr>
                <w:sz w:val="20"/>
                <w:szCs w:val="20"/>
              </w:rPr>
              <w:t xml:space="preserve">  Goal partially met </w:t>
            </w:r>
          </w:p>
          <w:p w:rsidR="00FB6A47" w:rsidRDefault="00582F6F" w:rsidP="007C2BF3">
            <w:pPr>
              <w:tabs>
                <w:tab w:val="center" w:pos="1199"/>
              </w:tabs>
              <w:autoSpaceDE w:val="0"/>
              <w:autoSpaceDN w:val="0"/>
              <w:adjustRightInd w:val="0"/>
              <w:rPr>
                <w:sz w:val="20"/>
                <w:szCs w:val="20"/>
              </w:rPr>
            </w:pPr>
            <w:sdt>
              <w:sdtPr>
                <w:rPr>
                  <w:sz w:val="20"/>
                  <w:szCs w:val="20"/>
                </w:rPr>
                <w:id w:val="-1755200665"/>
                <w14:checkbox>
                  <w14:checked w14:val="1"/>
                  <w14:checkedState w14:val="2612" w14:font="MS Gothic"/>
                  <w14:uncheckedState w14:val="2610" w14:font="MS Gothic"/>
                </w14:checkbox>
              </w:sdtPr>
              <w:sdtEndPr/>
              <w:sdtContent>
                <w:r w:rsidR="00DC33F4">
                  <w:rPr>
                    <w:rFonts w:ascii="MS Gothic" w:eastAsia="MS Gothic" w:hAnsi="MS Gothic" w:hint="eastAsia"/>
                    <w:sz w:val="20"/>
                    <w:szCs w:val="20"/>
                  </w:rPr>
                  <w:t>☒</w:t>
                </w:r>
              </w:sdtContent>
            </w:sdt>
            <w:r w:rsidR="00FB6A47">
              <w:rPr>
                <w:sz w:val="20"/>
                <w:szCs w:val="20"/>
              </w:rPr>
              <w:t xml:space="preserve"> Goal currently not  met</w:t>
            </w:r>
            <w:r w:rsidR="00FB6A47">
              <w:rPr>
                <w:sz w:val="20"/>
                <w:szCs w:val="20"/>
              </w:rPr>
              <w:tab/>
            </w:r>
          </w:p>
          <w:p w:rsidR="00FB6A47" w:rsidRDefault="00FB6A47" w:rsidP="007C2BF3">
            <w:pPr>
              <w:autoSpaceDE w:val="0"/>
              <w:autoSpaceDN w:val="0"/>
              <w:adjustRightInd w:val="0"/>
              <w:rPr>
                <w:sz w:val="20"/>
                <w:szCs w:val="20"/>
              </w:rPr>
            </w:pPr>
          </w:p>
          <w:p w:rsidR="00FB6A47" w:rsidRPr="000B223E" w:rsidRDefault="00FB6A47" w:rsidP="007C2BF3">
            <w:pPr>
              <w:autoSpaceDE w:val="0"/>
              <w:autoSpaceDN w:val="0"/>
              <w:adjustRightInd w:val="0"/>
              <w:rPr>
                <w:sz w:val="20"/>
                <w:szCs w:val="20"/>
              </w:rPr>
            </w:pPr>
          </w:p>
        </w:tc>
        <w:tc>
          <w:tcPr>
            <w:tcW w:w="1708" w:type="pct"/>
          </w:tcPr>
          <w:p w:rsidR="00FB6A47" w:rsidRPr="000B223E" w:rsidRDefault="00DC33F4" w:rsidP="007C2BF3">
            <w:pPr>
              <w:rPr>
                <w:sz w:val="20"/>
                <w:szCs w:val="20"/>
              </w:rPr>
            </w:pPr>
            <w:r>
              <w:rPr>
                <w:sz w:val="20"/>
                <w:szCs w:val="20"/>
              </w:rPr>
              <w:t>40% of the Special Education Students met or exceeded their growth targets in Math for the period of Spring 2015 to Spring 2016. 20% of the Special Education students met or exceeded their growth targets in Reading for the period of Spring 2015 to Spring 2016.</w:t>
            </w:r>
          </w:p>
        </w:tc>
      </w:tr>
      <w:tr w:rsidR="007B01BE" w:rsidRPr="000B223E" w:rsidTr="007C2BF3">
        <w:tc>
          <w:tcPr>
            <w:tcW w:w="1916" w:type="pct"/>
          </w:tcPr>
          <w:p w:rsidR="00471AED" w:rsidRPr="00471AED" w:rsidRDefault="00471AED" w:rsidP="00471AED">
            <w:pPr>
              <w:rPr>
                <w:b/>
                <w:sz w:val="20"/>
                <w:szCs w:val="20"/>
              </w:rPr>
            </w:pPr>
            <w:r w:rsidRPr="00471AED">
              <w:rPr>
                <w:b/>
                <w:sz w:val="20"/>
                <w:szCs w:val="20"/>
              </w:rPr>
              <w:t>Graduation rate</w:t>
            </w:r>
          </w:p>
          <w:p w:rsidR="007B01BE" w:rsidRPr="000B223E" w:rsidRDefault="00471AED" w:rsidP="00471AED">
            <w:pPr>
              <w:rPr>
                <w:sz w:val="20"/>
                <w:szCs w:val="20"/>
              </w:rPr>
            </w:pPr>
            <w:r w:rsidRPr="00471AED">
              <w:rPr>
                <w:sz w:val="20"/>
                <w:szCs w:val="20"/>
              </w:rPr>
              <w:t>UMA will have a minimum of 80% graduate rate within four years from the beginning of their 9th grade year.</w:t>
            </w:r>
          </w:p>
        </w:tc>
        <w:tc>
          <w:tcPr>
            <w:tcW w:w="1376" w:type="pct"/>
          </w:tcPr>
          <w:p w:rsidR="007B01BE" w:rsidRDefault="00582F6F" w:rsidP="007C2BF3">
            <w:pPr>
              <w:tabs>
                <w:tab w:val="center" w:pos="1199"/>
              </w:tabs>
              <w:autoSpaceDE w:val="0"/>
              <w:autoSpaceDN w:val="0"/>
              <w:adjustRightInd w:val="0"/>
              <w:rPr>
                <w:sz w:val="20"/>
                <w:szCs w:val="20"/>
              </w:rPr>
            </w:pPr>
            <w:sdt>
              <w:sdtPr>
                <w:rPr>
                  <w:sz w:val="20"/>
                  <w:szCs w:val="20"/>
                </w:rPr>
                <w:id w:val="-1474515720"/>
                <w14:checkbox>
                  <w14:checked w14:val="1"/>
                  <w14:checkedState w14:val="2612" w14:font="MS Gothic"/>
                  <w14:uncheckedState w14:val="2610" w14:font="MS Gothic"/>
                </w14:checkbox>
              </w:sdtPr>
              <w:sdtEndPr/>
              <w:sdtContent>
                <w:r w:rsidR="0026797D">
                  <w:rPr>
                    <w:rFonts w:ascii="MS Gothic" w:eastAsia="MS Gothic" w:hAnsi="MS Gothic" w:hint="eastAsia"/>
                    <w:sz w:val="20"/>
                    <w:szCs w:val="20"/>
                  </w:rPr>
                  <w:t>☒</w:t>
                </w:r>
              </w:sdtContent>
            </w:sdt>
            <w:r w:rsidR="007B01BE">
              <w:rPr>
                <w:sz w:val="20"/>
                <w:szCs w:val="20"/>
              </w:rPr>
              <w:t xml:space="preserve">  Goal met</w:t>
            </w:r>
          </w:p>
          <w:p w:rsidR="007B01BE" w:rsidRDefault="00582F6F" w:rsidP="007C2BF3">
            <w:pPr>
              <w:tabs>
                <w:tab w:val="center" w:pos="1199"/>
              </w:tabs>
              <w:autoSpaceDE w:val="0"/>
              <w:autoSpaceDN w:val="0"/>
              <w:adjustRightInd w:val="0"/>
              <w:rPr>
                <w:sz w:val="20"/>
                <w:szCs w:val="20"/>
              </w:rPr>
            </w:pPr>
            <w:sdt>
              <w:sdtPr>
                <w:rPr>
                  <w:sz w:val="20"/>
                  <w:szCs w:val="20"/>
                </w:rPr>
                <w:id w:val="-135260469"/>
                <w14:checkbox>
                  <w14:checked w14:val="0"/>
                  <w14:checkedState w14:val="2612" w14:font="MS Gothic"/>
                  <w14:uncheckedState w14:val="2610" w14:font="MS Gothic"/>
                </w14:checkbox>
              </w:sdtPr>
              <w:sdtEndPr/>
              <w:sdtContent>
                <w:r w:rsidR="007B01BE">
                  <w:rPr>
                    <w:rFonts w:ascii="MS Gothic" w:eastAsia="MS Gothic" w:hAnsi="MS Gothic" w:hint="eastAsia"/>
                    <w:sz w:val="20"/>
                    <w:szCs w:val="20"/>
                  </w:rPr>
                  <w:t>☐</w:t>
                </w:r>
              </w:sdtContent>
            </w:sdt>
            <w:r w:rsidR="007B01BE">
              <w:rPr>
                <w:sz w:val="20"/>
                <w:szCs w:val="20"/>
              </w:rPr>
              <w:t xml:space="preserve">  Goal partially met </w:t>
            </w:r>
          </w:p>
          <w:p w:rsidR="007B01BE" w:rsidRDefault="00582F6F" w:rsidP="007C2BF3">
            <w:pPr>
              <w:tabs>
                <w:tab w:val="center" w:pos="1199"/>
              </w:tabs>
              <w:autoSpaceDE w:val="0"/>
              <w:autoSpaceDN w:val="0"/>
              <w:adjustRightInd w:val="0"/>
              <w:rPr>
                <w:sz w:val="20"/>
                <w:szCs w:val="20"/>
              </w:rPr>
            </w:pPr>
            <w:sdt>
              <w:sdtPr>
                <w:rPr>
                  <w:sz w:val="20"/>
                  <w:szCs w:val="20"/>
                </w:rPr>
                <w:id w:val="-1539347191"/>
                <w14:checkbox>
                  <w14:checked w14:val="0"/>
                  <w14:checkedState w14:val="2612" w14:font="MS Gothic"/>
                  <w14:uncheckedState w14:val="2610" w14:font="MS Gothic"/>
                </w14:checkbox>
              </w:sdtPr>
              <w:sdtEndPr/>
              <w:sdtContent>
                <w:r w:rsidR="007B01BE">
                  <w:rPr>
                    <w:rFonts w:ascii="MS Gothic" w:eastAsia="MS Gothic" w:hAnsi="MS Gothic" w:hint="eastAsia"/>
                    <w:sz w:val="20"/>
                    <w:szCs w:val="20"/>
                  </w:rPr>
                  <w:t>☐</w:t>
                </w:r>
              </w:sdtContent>
            </w:sdt>
            <w:r w:rsidR="007B01BE">
              <w:rPr>
                <w:sz w:val="20"/>
                <w:szCs w:val="20"/>
              </w:rPr>
              <w:t xml:space="preserve"> Goal currently not  met</w:t>
            </w:r>
            <w:r w:rsidR="007B01BE">
              <w:rPr>
                <w:sz w:val="20"/>
                <w:szCs w:val="20"/>
              </w:rPr>
              <w:tab/>
            </w:r>
          </w:p>
          <w:p w:rsidR="007B01BE" w:rsidRDefault="007B01BE" w:rsidP="007C2BF3">
            <w:pPr>
              <w:autoSpaceDE w:val="0"/>
              <w:autoSpaceDN w:val="0"/>
              <w:adjustRightInd w:val="0"/>
              <w:rPr>
                <w:sz w:val="20"/>
                <w:szCs w:val="20"/>
              </w:rPr>
            </w:pPr>
          </w:p>
          <w:p w:rsidR="007B01BE" w:rsidRPr="000B223E" w:rsidRDefault="007B01BE" w:rsidP="007C2BF3">
            <w:pPr>
              <w:autoSpaceDE w:val="0"/>
              <w:autoSpaceDN w:val="0"/>
              <w:adjustRightInd w:val="0"/>
              <w:rPr>
                <w:sz w:val="20"/>
                <w:szCs w:val="20"/>
              </w:rPr>
            </w:pPr>
          </w:p>
        </w:tc>
        <w:tc>
          <w:tcPr>
            <w:tcW w:w="1708" w:type="pct"/>
          </w:tcPr>
          <w:p w:rsidR="007B01BE" w:rsidRPr="000B223E" w:rsidRDefault="004E1C62" w:rsidP="007C2BF3">
            <w:pPr>
              <w:rPr>
                <w:sz w:val="20"/>
                <w:szCs w:val="20"/>
              </w:rPr>
            </w:pPr>
            <w:r>
              <w:rPr>
                <w:sz w:val="20"/>
                <w:szCs w:val="20"/>
              </w:rPr>
              <w:t>UMA showed a graduation rate of 98% for the graduating class of 2016.</w:t>
            </w:r>
            <w:r w:rsidR="00DC33F4">
              <w:rPr>
                <w:sz w:val="20"/>
                <w:szCs w:val="20"/>
              </w:rPr>
              <w:t xml:space="preserve">  This goal was met.</w:t>
            </w:r>
          </w:p>
        </w:tc>
      </w:tr>
      <w:tr w:rsidR="00471AED" w:rsidRPr="000B223E" w:rsidTr="00471AED">
        <w:tc>
          <w:tcPr>
            <w:tcW w:w="1916" w:type="pct"/>
          </w:tcPr>
          <w:p w:rsidR="00471AED" w:rsidRPr="00471AED" w:rsidRDefault="00471AED" w:rsidP="00471AED">
            <w:pPr>
              <w:rPr>
                <w:b/>
                <w:sz w:val="20"/>
                <w:szCs w:val="20"/>
              </w:rPr>
            </w:pPr>
            <w:r w:rsidRPr="00471AED">
              <w:rPr>
                <w:b/>
                <w:sz w:val="20"/>
                <w:szCs w:val="20"/>
              </w:rPr>
              <w:t>MMR score</w:t>
            </w:r>
          </w:p>
          <w:p w:rsidR="00471AED" w:rsidRPr="000B223E" w:rsidRDefault="00471AED" w:rsidP="00471AED">
            <w:pPr>
              <w:rPr>
                <w:sz w:val="20"/>
                <w:szCs w:val="20"/>
              </w:rPr>
            </w:pPr>
            <w:r w:rsidRPr="00471AED">
              <w:rPr>
                <w:sz w:val="20"/>
                <w:szCs w:val="20"/>
              </w:rPr>
              <w:t>UMA will meet or exceed the state average MMR score for each year of the authorizer contract (PUC), beginning in school year 2014-2015 and continuing through the contract term.</w:t>
            </w:r>
          </w:p>
        </w:tc>
        <w:tc>
          <w:tcPr>
            <w:tcW w:w="1376" w:type="pct"/>
          </w:tcPr>
          <w:p w:rsidR="00471AED" w:rsidRDefault="00582F6F" w:rsidP="007C2BF3">
            <w:pPr>
              <w:tabs>
                <w:tab w:val="center" w:pos="1199"/>
              </w:tabs>
              <w:autoSpaceDE w:val="0"/>
              <w:autoSpaceDN w:val="0"/>
              <w:adjustRightInd w:val="0"/>
              <w:rPr>
                <w:sz w:val="20"/>
                <w:szCs w:val="20"/>
              </w:rPr>
            </w:pPr>
            <w:sdt>
              <w:sdtPr>
                <w:rPr>
                  <w:sz w:val="20"/>
                  <w:szCs w:val="20"/>
                </w:rPr>
                <w:id w:val="-1632709015"/>
                <w14:checkbox>
                  <w14:checked w14:val="0"/>
                  <w14:checkedState w14:val="2612" w14:font="MS Gothic"/>
                  <w14:uncheckedState w14:val="2610" w14:font="MS Gothic"/>
                </w14:checkbox>
              </w:sdtPr>
              <w:sdtEndPr/>
              <w:sdtContent>
                <w:r w:rsidR="00471AED">
                  <w:rPr>
                    <w:rFonts w:ascii="MS Gothic" w:eastAsia="MS Gothic" w:hAnsi="MS Gothic" w:hint="eastAsia"/>
                    <w:sz w:val="20"/>
                    <w:szCs w:val="20"/>
                  </w:rPr>
                  <w:t>☐</w:t>
                </w:r>
              </w:sdtContent>
            </w:sdt>
            <w:r w:rsidR="00471AED">
              <w:rPr>
                <w:sz w:val="20"/>
                <w:szCs w:val="20"/>
              </w:rPr>
              <w:t xml:space="preserve">  Goal met</w:t>
            </w:r>
          </w:p>
          <w:p w:rsidR="00471AED" w:rsidRDefault="00582F6F" w:rsidP="007C2BF3">
            <w:pPr>
              <w:tabs>
                <w:tab w:val="center" w:pos="1199"/>
              </w:tabs>
              <w:autoSpaceDE w:val="0"/>
              <w:autoSpaceDN w:val="0"/>
              <w:adjustRightInd w:val="0"/>
              <w:rPr>
                <w:sz w:val="20"/>
                <w:szCs w:val="20"/>
              </w:rPr>
            </w:pPr>
            <w:sdt>
              <w:sdtPr>
                <w:rPr>
                  <w:sz w:val="20"/>
                  <w:szCs w:val="20"/>
                </w:rPr>
                <w:id w:val="-731008841"/>
                <w14:checkbox>
                  <w14:checked w14:val="1"/>
                  <w14:checkedState w14:val="2612" w14:font="MS Gothic"/>
                  <w14:uncheckedState w14:val="2610" w14:font="MS Gothic"/>
                </w14:checkbox>
              </w:sdtPr>
              <w:sdtEndPr/>
              <w:sdtContent>
                <w:r w:rsidR="004E1C62">
                  <w:rPr>
                    <w:rFonts w:ascii="MS Gothic" w:eastAsia="MS Gothic" w:hAnsi="MS Gothic" w:hint="eastAsia"/>
                    <w:sz w:val="20"/>
                    <w:szCs w:val="20"/>
                  </w:rPr>
                  <w:t>☒</w:t>
                </w:r>
              </w:sdtContent>
            </w:sdt>
            <w:r w:rsidR="00471AED">
              <w:rPr>
                <w:sz w:val="20"/>
                <w:szCs w:val="20"/>
              </w:rPr>
              <w:t xml:space="preserve">  Goal partially met </w:t>
            </w:r>
          </w:p>
          <w:p w:rsidR="00471AED" w:rsidRDefault="00582F6F" w:rsidP="007C2BF3">
            <w:pPr>
              <w:tabs>
                <w:tab w:val="center" w:pos="1199"/>
              </w:tabs>
              <w:autoSpaceDE w:val="0"/>
              <w:autoSpaceDN w:val="0"/>
              <w:adjustRightInd w:val="0"/>
              <w:rPr>
                <w:sz w:val="20"/>
                <w:szCs w:val="20"/>
              </w:rPr>
            </w:pPr>
            <w:sdt>
              <w:sdtPr>
                <w:rPr>
                  <w:sz w:val="20"/>
                  <w:szCs w:val="20"/>
                </w:rPr>
                <w:id w:val="-823966139"/>
                <w14:checkbox>
                  <w14:checked w14:val="0"/>
                  <w14:checkedState w14:val="2612" w14:font="MS Gothic"/>
                  <w14:uncheckedState w14:val="2610" w14:font="MS Gothic"/>
                </w14:checkbox>
              </w:sdtPr>
              <w:sdtEndPr/>
              <w:sdtContent>
                <w:r w:rsidR="00471AED">
                  <w:rPr>
                    <w:rFonts w:ascii="MS Gothic" w:eastAsia="MS Gothic" w:hAnsi="MS Gothic" w:hint="eastAsia"/>
                    <w:sz w:val="20"/>
                    <w:szCs w:val="20"/>
                  </w:rPr>
                  <w:t>☐</w:t>
                </w:r>
              </w:sdtContent>
            </w:sdt>
            <w:r w:rsidR="00471AED">
              <w:rPr>
                <w:sz w:val="20"/>
                <w:szCs w:val="20"/>
              </w:rPr>
              <w:t xml:space="preserve"> Goal currently not  met</w:t>
            </w:r>
            <w:r w:rsidR="00471AED">
              <w:rPr>
                <w:sz w:val="20"/>
                <w:szCs w:val="20"/>
              </w:rPr>
              <w:tab/>
            </w:r>
          </w:p>
          <w:p w:rsidR="00471AED" w:rsidRDefault="00471AED" w:rsidP="007C2BF3">
            <w:pPr>
              <w:autoSpaceDE w:val="0"/>
              <w:autoSpaceDN w:val="0"/>
              <w:adjustRightInd w:val="0"/>
              <w:rPr>
                <w:sz w:val="20"/>
                <w:szCs w:val="20"/>
              </w:rPr>
            </w:pPr>
          </w:p>
          <w:p w:rsidR="00471AED" w:rsidRPr="000B223E" w:rsidRDefault="00471AED" w:rsidP="007C2BF3">
            <w:pPr>
              <w:autoSpaceDE w:val="0"/>
              <w:autoSpaceDN w:val="0"/>
              <w:adjustRightInd w:val="0"/>
              <w:rPr>
                <w:sz w:val="20"/>
                <w:szCs w:val="20"/>
              </w:rPr>
            </w:pPr>
          </w:p>
        </w:tc>
        <w:tc>
          <w:tcPr>
            <w:tcW w:w="1708" w:type="pct"/>
          </w:tcPr>
          <w:p w:rsidR="00471AED" w:rsidRPr="000B223E" w:rsidRDefault="004E1C62" w:rsidP="007C2BF3">
            <w:pPr>
              <w:rPr>
                <w:sz w:val="20"/>
                <w:szCs w:val="20"/>
              </w:rPr>
            </w:pPr>
            <w:r>
              <w:rPr>
                <w:sz w:val="20"/>
                <w:szCs w:val="20"/>
              </w:rPr>
              <w:t xml:space="preserve">In 2015 UMA exceeded the state average </w:t>
            </w:r>
            <w:r w:rsidR="001A0AFD">
              <w:rPr>
                <w:sz w:val="20"/>
                <w:szCs w:val="20"/>
              </w:rPr>
              <w:t>in MMR score with a score of 85.52% and received a Reward designation.  In 2016 UMA met the state average in MMR score with a score of 72.52%</w:t>
            </w:r>
          </w:p>
        </w:tc>
      </w:tr>
      <w:tr w:rsidR="00471AED" w:rsidRPr="000B223E" w:rsidTr="007C2BF3">
        <w:tc>
          <w:tcPr>
            <w:tcW w:w="1916" w:type="pct"/>
          </w:tcPr>
          <w:p w:rsidR="00471AED" w:rsidRPr="00E643B1" w:rsidRDefault="00471AED" w:rsidP="00471AED">
            <w:pPr>
              <w:rPr>
                <w:b/>
                <w:sz w:val="20"/>
                <w:szCs w:val="20"/>
              </w:rPr>
            </w:pPr>
            <w:r w:rsidRPr="00E643B1">
              <w:rPr>
                <w:b/>
                <w:sz w:val="20"/>
                <w:szCs w:val="20"/>
              </w:rPr>
              <w:t>Dual credit postsecondary courses</w:t>
            </w:r>
          </w:p>
          <w:p w:rsidR="00471AED" w:rsidRPr="000B223E" w:rsidRDefault="00471AED" w:rsidP="00471AED">
            <w:pPr>
              <w:rPr>
                <w:sz w:val="20"/>
                <w:szCs w:val="20"/>
              </w:rPr>
            </w:pPr>
            <w:r w:rsidRPr="00F25197">
              <w:rPr>
                <w:sz w:val="20"/>
                <w:szCs w:val="20"/>
              </w:rPr>
              <w:t xml:space="preserve">For each contract year, UMA will continue to provide college level coursework for credit through the University of Minnesota’s College in the Schools, </w:t>
            </w:r>
            <w:proofErr w:type="spellStart"/>
            <w:r w:rsidRPr="00F25197">
              <w:rPr>
                <w:sz w:val="20"/>
                <w:szCs w:val="20"/>
              </w:rPr>
              <w:t>Normandale</w:t>
            </w:r>
            <w:proofErr w:type="spellEnd"/>
            <w:r w:rsidRPr="00F25197">
              <w:rPr>
                <w:sz w:val="20"/>
                <w:szCs w:val="20"/>
              </w:rPr>
              <w:t xml:space="preserve"> Community College courses, College Possible and/or similar programs to provide in depth college readiness.</w:t>
            </w:r>
          </w:p>
        </w:tc>
        <w:tc>
          <w:tcPr>
            <w:tcW w:w="1376" w:type="pct"/>
          </w:tcPr>
          <w:p w:rsidR="00471AED" w:rsidRDefault="00582F6F" w:rsidP="00471AED">
            <w:pPr>
              <w:tabs>
                <w:tab w:val="center" w:pos="1199"/>
              </w:tabs>
              <w:autoSpaceDE w:val="0"/>
              <w:autoSpaceDN w:val="0"/>
              <w:adjustRightInd w:val="0"/>
              <w:rPr>
                <w:sz w:val="20"/>
                <w:szCs w:val="20"/>
              </w:rPr>
            </w:pPr>
            <w:sdt>
              <w:sdtPr>
                <w:rPr>
                  <w:sz w:val="20"/>
                  <w:szCs w:val="20"/>
                </w:rPr>
                <w:id w:val="655041680"/>
                <w14:checkbox>
                  <w14:checked w14:val="1"/>
                  <w14:checkedState w14:val="2612" w14:font="MS Gothic"/>
                  <w14:uncheckedState w14:val="2610" w14:font="MS Gothic"/>
                </w14:checkbox>
              </w:sdtPr>
              <w:sdtEndPr/>
              <w:sdtContent>
                <w:r w:rsidR="0026797D">
                  <w:rPr>
                    <w:rFonts w:ascii="MS Gothic" w:eastAsia="MS Gothic" w:hAnsi="MS Gothic" w:hint="eastAsia"/>
                    <w:sz w:val="20"/>
                    <w:szCs w:val="20"/>
                  </w:rPr>
                  <w:t>☒</w:t>
                </w:r>
              </w:sdtContent>
            </w:sdt>
            <w:r w:rsidR="00471AED">
              <w:rPr>
                <w:sz w:val="20"/>
                <w:szCs w:val="20"/>
              </w:rPr>
              <w:t xml:space="preserve">  Goal met</w:t>
            </w:r>
          </w:p>
          <w:p w:rsidR="00471AED" w:rsidRDefault="00582F6F" w:rsidP="00471AED">
            <w:pPr>
              <w:tabs>
                <w:tab w:val="center" w:pos="1199"/>
              </w:tabs>
              <w:autoSpaceDE w:val="0"/>
              <w:autoSpaceDN w:val="0"/>
              <w:adjustRightInd w:val="0"/>
              <w:rPr>
                <w:sz w:val="20"/>
                <w:szCs w:val="20"/>
              </w:rPr>
            </w:pPr>
            <w:sdt>
              <w:sdtPr>
                <w:rPr>
                  <w:sz w:val="20"/>
                  <w:szCs w:val="20"/>
                </w:rPr>
                <w:id w:val="-389339571"/>
                <w14:checkbox>
                  <w14:checked w14:val="0"/>
                  <w14:checkedState w14:val="2612" w14:font="MS Gothic"/>
                  <w14:uncheckedState w14:val="2610" w14:font="MS Gothic"/>
                </w14:checkbox>
              </w:sdtPr>
              <w:sdtEndPr/>
              <w:sdtContent>
                <w:r w:rsidR="00471AED">
                  <w:rPr>
                    <w:rFonts w:ascii="MS Gothic" w:eastAsia="MS Gothic" w:hAnsi="MS Gothic" w:hint="eastAsia"/>
                    <w:sz w:val="20"/>
                    <w:szCs w:val="20"/>
                  </w:rPr>
                  <w:t>☐</w:t>
                </w:r>
              </w:sdtContent>
            </w:sdt>
            <w:r w:rsidR="00471AED">
              <w:rPr>
                <w:sz w:val="20"/>
                <w:szCs w:val="20"/>
              </w:rPr>
              <w:t xml:space="preserve">  Goal partially met </w:t>
            </w:r>
          </w:p>
          <w:p w:rsidR="00471AED" w:rsidRDefault="00582F6F" w:rsidP="00471AED">
            <w:pPr>
              <w:tabs>
                <w:tab w:val="center" w:pos="1199"/>
              </w:tabs>
              <w:autoSpaceDE w:val="0"/>
              <w:autoSpaceDN w:val="0"/>
              <w:adjustRightInd w:val="0"/>
              <w:rPr>
                <w:sz w:val="20"/>
                <w:szCs w:val="20"/>
              </w:rPr>
            </w:pPr>
            <w:sdt>
              <w:sdtPr>
                <w:rPr>
                  <w:sz w:val="20"/>
                  <w:szCs w:val="20"/>
                </w:rPr>
                <w:id w:val="-1405300452"/>
                <w14:checkbox>
                  <w14:checked w14:val="0"/>
                  <w14:checkedState w14:val="2612" w14:font="MS Gothic"/>
                  <w14:uncheckedState w14:val="2610" w14:font="MS Gothic"/>
                </w14:checkbox>
              </w:sdtPr>
              <w:sdtEndPr/>
              <w:sdtContent>
                <w:r w:rsidR="00471AED">
                  <w:rPr>
                    <w:rFonts w:ascii="MS Gothic" w:eastAsia="MS Gothic" w:hAnsi="MS Gothic" w:hint="eastAsia"/>
                    <w:sz w:val="20"/>
                    <w:szCs w:val="20"/>
                  </w:rPr>
                  <w:t>☐</w:t>
                </w:r>
              </w:sdtContent>
            </w:sdt>
            <w:r w:rsidR="00471AED">
              <w:rPr>
                <w:sz w:val="20"/>
                <w:szCs w:val="20"/>
              </w:rPr>
              <w:t xml:space="preserve"> Goal currently not  met</w:t>
            </w:r>
            <w:r w:rsidR="00471AED">
              <w:rPr>
                <w:sz w:val="20"/>
                <w:szCs w:val="20"/>
              </w:rPr>
              <w:tab/>
            </w:r>
          </w:p>
          <w:p w:rsidR="00471AED" w:rsidRDefault="00471AED" w:rsidP="00471AED">
            <w:pPr>
              <w:autoSpaceDE w:val="0"/>
              <w:autoSpaceDN w:val="0"/>
              <w:adjustRightInd w:val="0"/>
              <w:rPr>
                <w:sz w:val="20"/>
                <w:szCs w:val="20"/>
              </w:rPr>
            </w:pPr>
          </w:p>
          <w:p w:rsidR="00471AED" w:rsidRPr="000B223E" w:rsidRDefault="00471AED" w:rsidP="00471AED">
            <w:pPr>
              <w:autoSpaceDE w:val="0"/>
              <w:autoSpaceDN w:val="0"/>
              <w:adjustRightInd w:val="0"/>
              <w:rPr>
                <w:sz w:val="20"/>
                <w:szCs w:val="20"/>
              </w:rPr>
            </w:pPr>
          </w:p>
        </w:tc>
        <w:tc>
          <w:tcPr>
            <w:tcW w:w="1708" w:type="pct"/>
          </w:tcPr>
          <w:p w:rsidR="00471AED" w:rsidRPr="000B223E" w:rsidRDefault="004E1C62" w:rsidP="00471AED">
            <w:pPr>
              <w:rPr>
                <w:sz w:val="20"/>
                <w:szCs w:val="20"/>
              </w:rPr>
            </w:pPr>
            <w:r>
              <w:rPr>
                <w:sz w:val="20"/>
                <w:szCs w:val="20"/>
              </w:rPr>
              <w:t xml:space="preserve">UMA </w:t>
            </w:r>
            <w:proofErr w:type="gramStart"/>
            <w:r>
              <w:rPr>
                <w:sz w:val="20"/>
                <w:szCs w:val="20"/>
              </w:rPr>
              <w:t>provided  students</w:t>
            </w:r>
            <w:proofErr w:type="gramEnd"/>
            <w:r>
              <w:rPr>
                <w:sz w:val="20"/>
                <w:szCs w:val="20"/>
              </w:rPr>
              <w:t xml:space="preserve"> with the opportunities for coursework at the college level through the following options: CIS Economics, CIS Physics, CIS Literature, CIS Writing, CIS Anatomy, College Calculus, College Pre-Calculus, College Composition, and College Literature.</w:t>
            </w:r>
          </w:p>
        </w:tc>
      </w:tr>
    </w:tbl>
    <w:p w:rsidR="007B01BE" w:rsidRPr="007B01BE" w:rsidRDefault="007B01BE" w:rsidP="007B01BE">
      <w:pPr>
        <w:tabs>
          <w:tab w:val="left" w:pos="1080"/>
        </w:tabs>
      </w:pPr>
      <w:bookmarkStart w:id="0" w:name="_GoBack"/>
      <w:bookmarkEnd w:id="0"/>
    </w:p>
    <w:sectPr w:rsidR="007B01BE" w:rsidRPr="007B01BE" w:rsidSect="007612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8F"/>
    <w:rsid w:val="0002646B"/>
    <w:rsid w:val="00090C17"/>
    <w:rsid w:val="000B223E"/>
    <w:rsid w:val="000E5735"/>
    <w:rsid w:val="000F60D6"/>
    <w:rsid w:val="0012118F"/>
    <w:rsid w:val="001A0AFD"/>
    <w:rsid w:val="00211835"/>
    <w:rsid w:val="00235815"/>
    <w:rsid w:val="002439BB"/>
    <w:rsid w:val="0026797D"/>
    <w:rsid w:val="002C6B9E"/>
    <w:rsid w:val="002E0CD6"/>
    <w:rsid w:val="002E288F"/>
    <w:rsid w:val="00446C56"/>
    <w:rsid w:val="00471AED"/>
    <w:rsid w:val="004A4198"/>
    <w:rsid w:val="004E1C62"/>
    <w:rsid w:val="00582F6F"/>
    <w:rsid w:val="005C5437"/>
    <w:rsid w:val="006332B7"/>
    <w:rsid w:val="006F06C5"/>
    <w:rsid w:val="00702392"/>
    <w:rsid w:val="007104A2"/>
    <w:rsid w:val="007612D6"/>
    <w:rsid w:val="007B01BE"/>
    <w:rsid w:val="007C0E33"/>
    <w:rsid w:val="008109D8"/>
    <w:rsid w:val="0081265B"/>
    <w:rsid w:val="008B33EF"/>
    <w:rsid w:val="008F5BFD"/>
    <w:rsid w:val="0092051D"/>
    <w:rsid w:val="00A32121"/>
    <w:rsid w:val="00A56E7F"/>
    <w:rsid w:val="00AA22F3"/>
    <w:rsid w:val="00AF044A"/>
    <w:rsid w:val="00B20337"/>
    <w:rsid w:val="00B5029F"/>
    <w:rsid w:val="00B61080"/>
    <w:rsid w:val="00BB25BB"/>
    <w:rsid w:val="00C27ABE"/>
    <w:rsid w:val="00C81DA7"/>
    <w:rsid w:val="00CB50A3"/>
    <w:rsid w:val="00D10A6C"/>
    <w:rsid w:val="00D723BC"/>
    <w:rsid w:val="00D73699"/>
    <w:rsid w:val="00DC33F4"/>
    <w:rsid w:val="00DE2DAA"/>
    <w:rsid w:val="00E7113C"/>
    <w:rsid w:val="00E93E46"/>
    <w:rsid w:val="00EA5AEE"/>
    <w:rsid w:val="00F0037A"/>
    <w:rsid w:val="00F77F91"/>
    <w:rsid w:val="00F9449E"/>
    <w:rsid w:val="00FB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2E288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E288F"/>
    <w:rPr>
      <w:rFonts w:asciiTheme="majorHAnsi" w:eastAsiaTheme="majorEastAsia" w:hAnsiTheme="majorHAnsi" w:cstheme="majorBidi"/>
      <w:i/>
      <w:iCs/>
      <w:color w:val="833C0B" w:themeColor="accent2" w:themeShade="80"/>
      <w:sz w:val="28"/>
      <w:szCs w:val="28"/>
    </w:rPr>
  </w:style>
  <w:style w:type="paragraph" w:styleId="ListParagraph">
    <w:name w:val="List Paragraph"/>
    <w:basedOn w:val="Normal"/>
    <w:uiPriority w:val="34"/>
    <w:qFormat/>
    <w:rsid w:val="00702392"/>
    <w:pPr>
      <w:ind w:left="720"/>
      <w:contextualSpacing/>
    </w:pPr>
  </w:style>
  <w:style w:type="paragraph" w:styleId="BalloonText">
    <w:name w:val="Balloon Text"/>
    <w:basedOn w:val="Normal"/>
    <w:link w:val="BalloonTextChar"/>
    <w:uiPriority w:val="99"/>
    <w:semiHidden/>
    <w:unhideWhenUsed/>
    <w:rsid w:val="00BB2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5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2E288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E288F"/>
    <w:rPr>
      <w:rFonts w:asciiTheme="majorHAnsi" w:eastAsiaTheme="majorEastAsia" w:hAnsiTheme="majorHAnsi" w:cstheme="majorBidi"/>
      <w:i/>
      <w:iCs/>
      <w:color w:val="833C0B" w:themeColor="accent2" w:themeShade="80"/>
      <w:sz w:val="28"/>
      <w:szCs w:val="28"/>
    </w:rPr>
  </w:style>
  <w:style w:type="paragraph" w:styleId="ListParagraph">
    <w:name w:val="List Paragraph"/>
    <w:basedOn w:val="Normal"/>
    <w:uiPriority w:val="34"/>
    <w:qFormat/>
    <w:rsid w:val="00702392"/>
    <w:pPr>
      <w:ind w:left="720"/>
      <w:contextualSpacing/>
    </w:pPr>
  </w:style>
  <w:style w:type="paragraph" w:styleId="BalloonText">
    <w:name w:val="Balloon Text"/>
    <w:basedOn w:val="Normal"/>
    <w:link w:val="BalloonTextChar"/>
    <w:uiPriority w:val="99"/>
    <w:semiHidden/>
    <w:unhideWhenUsed/>
    <w:rsid w:val="00BB2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08">
      <w:bodyDiv w:val="1"/>
      <w:marLeft w:val="0"/>
      <w:marRight w:val="0"/>
      <w:marTop w:val="0"/>
      <w:marBottom w:val="0"/>
      <w:divBdr>
        <w:top w:val="none" w:sz="0" w:space="0" w:color="auto"/>
        <w:left w:val="none" w:sz="0" w:space="0" w:color="auto"/>
        <w:bottom w:val="none" w:sz="0" w:space="0" w:color="auto"/>
        <w:right w:val="none" w:sz="0" w:space="0" w:color="auto"/>
      </w:divBdr>
    </w:div>
    <w:div w:id="52433002">
      <w:bodyDiv w:val="1"/>
      <w:marLeft w:val="0"/>
      <w:marRight w:val="0"/>
      <w:marTop w:val="0"/>
      <w:marBottom w:val="0"/>
      <w:divBdr>
        <w:top w:val="none" w:sz="0" w:space="0" w:color="auto"/>
        <w:left w:val="none" w:sz="0" w:space="0" w:color="auto"/>
        <w:bottom w:val="none" w:sz="0" w:space="0" w:color="auto"/>
        <w:right w:val="none" w:sz="0" w:space="0" w:color="auto"/>
      </w:divBdr>
    </w:div>
    <w:div w:id="271976474">
      <w:bodyDiv w:val="1"/>
      <w:marLeft w:val="0"/>
      <w:marRight w:val="0"/>
      <w:marTop w:val="0"/>
      <w:marBottom w:val="0"/>
      <w:divBdr>
        <w:top w:val="none" w:sz="0" w:space="0" w:color="auto"/>
        <w:left w:val="none" w:sz="0" w:space="0" w:color="auto"/>
        <w:bottom w:val="none" w:sz="0" w:space="0" w:color="auto"/>
        <w:right w:val="none" w:sz="0" w:space="0" w:color="auto"/>
      </w:divBdr>
    </w:div>
    <w:div w:id="539442996">
      <w:bodyDiv w:val="1"/>
      <w:marLeft w:val="0"/>
      <w:marRight w:val="0"/>
      <w:marTop w:val="0"/>
      <w:marBottom w:val="0"/>
      <w:divBdr>
        <w:top w:val="none" w:sz="0" w:space="0" w:color="auto"/>
        <w:left w:val="none" w:sz="0" w:space="0" w:color="auto"/>
        <w:bottom w:val="none" w:sz="0" w:space="0" w:color="auto"/>
        <w:right w:val="none" w:sz="0" w:space="0" w:color="auto"/>
      </w:divBdr>
    </w:div>
    <w:div w:id="882517600">
      <w:bodyDiv w:val="1"/>
      <w:marLeft w:val="0"/>
      <w:marRight w:val="0"/>
      <w:marTop w:val="0"/>
      <w:marBottom w:val="0"/>
      <w:divBdr>
        <w:top w:val="none" w:sz="0" w:space="0" w:color="auto"/>
        <w:left w:val="none" w:sz="0" w:space="0" w:color="auto"/>
        <w:bottom w:val="none" w:sz="0" w:space="0" w:color="auto"/>
        <w:right w:val="none" w:sz="0" w:space="0" w:color="auto"/>
      </w:divBdr>
    </w:div>
    <w:div w:id="1240410037">
      <w:bodyDiv w:val="1"/>
      <w:marLeft w:val="0"/>
      <w:marRight w:val="0"/>
      <w:marTop w:val="0"/>
      <w:marBottom w:val="0"/>
      <w:divBdr>
        <w:top w:val="none" w:sz="0" w:space="0" w:color="auto"/>
        <w:left w:val="none" w:sz="0" w:space="0" w:color="auto"/>
        <w:bottom w:val="none" w:sz="0" w:space="0" w:color="auto"/>
        <w:right w:val="none" w:sz="0" w:space="0" w:color="auto"/>
      </w:divBdr>
    </w:div>
    <w:div w:id="20940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C5E9B-D8C2-4B17-A78D-260D8010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T. Holte</dc:creator>
  <cp:lastModifiedBy>Eric Brandt</cp:lastModifiedBy>
  <cp:revision>4</cp:revision>
  <cp:lastPrinted>2016-01-04T22:36:00Z</cp:lastPrinted>
  <dcterms:created xsi:type="dcterms:W3CDTF">2016-12-16T01:19:00Z</dcterms:created>
  <dcterms:modified xsi:type="dcterms:W3CDTF">2016-12-16T03:59:00Z</dcterms:modified>
</cp:coreProperties>
</file>